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318" w:rsidRPr="009A0477" w:rsidRDefault="00F42318" w:rsidP="009A0477">
      <w:pPr>
        <w:rPr>
          <w:rFonts w:ascii="Calibri" w:hAnsi="Calibri" w:cs="Arial"/>
          <w:color w:val="333333"/>
          <w:sz w:val="16"/>
          <w:szCs w:val="16"/>
          <w:lang w:val="uk-UA"/>
        </w:rPr>
      </w:pPr>
    </w:p>
    <w:p w:rsidR="00466400" w:rsidRPr="009A0477" w:rsidRDefault="00466400" w:rsidP="009A0477">
      <w:pPr>
        <w:jc w:val="both"/>
        <w:rPr>
          <w:b/>
          <w:lang w:val="uk-UA"/>
        </w:rPr>
      </w:pPr>
      <w:r w:rsidRPr="009A0477">
        <w:rPr>
          <w:lang w:val="uk-UA"/>
        </w:rPr>
        <w:tab/>
      </w:r>
    </w:p>
    <w:p w:rsidR="00067ABB" w:rsidRPr="00E46D0F" w:rsidRDefault="00067ABB" w:rsidP="00067ABB">
      <w:pPr>
        <w:pStyle w:val="3"/>
        <w:jc w:val="center"/>
        <w:rPr>
          <w:rFonts w:eastAsia="Times New Roman"/>
          <w:color w:val="000000"/>
          <w:lang w:val="uk-UA"/>
        </w:rPr>
      </w:pPr>
      <w:r w:rsidRPr="00E46D0F">
        <w:rPr>
          <w:rFonts w:eastAsia="Times New Roman"/>
          <w:color w:val="000000"/>
          <w:lang w:val="uk-UA"/>
        </w:rPr>
        <w:t>Повідомлення про виникнення особливої інформації емітента</w:t>
      </w:r>
    </w:p>
    <w:p w:rsidR="00067ABB" w:rsidRPr="00E46D0F" w:rsidRDefault="00067ABB" w:rsidP="00067ABB">
      <w:pPr>
        <w:pStyle w:val="3"/>
        <w:jc w:val="center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</w:rPr>
        <w:t>I</w:t>
      </w:r>
      <w:r w:rsidRPr="00E46D0F">
        <w:rPr>
          <w:rFonts w:eastAsia="Times New Roman"/>
          <w:color w:val="000000"/>
          <w:lang w:val="uk-UA"/>
        </w:rPr>
        <w:t>. Загальні відомості</w:t>
      </w:r>
    </w:p>
    <w:tbl>
      <w:tblPr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928"/>
        <w:gridCol w:w="3547"/>
      </w:tblGrid>
      <w:tr w:rsidR="00067ABB" w:rsidTr="00067ABB">
        <w:tc>
          <w:tcPr>
            <w:tcW w:w="0" w:type="auto"/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Повне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найменування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емітента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Публ</w:t>
            </w:r>
            <w:proofErr w:type="gramStart"/>
            <w:r>
              <w:rPr>
                <w:i/>
                <w:iCs/>
                <w:color w:val="000000"/>
              </w:rPr>
              <w:t>i</w:t>
            </w:r>
            <w:proofErr w:type="gramEnd"/>
            <w:r>
              <w:rPr>
                <w:i/>
                <w:iCs/>
                <w:color w:val="000000"/>
              </w:rPr>
              <w:t>чне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акцiонерне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товариство</w:t>
            </w:r>
            <w:proofErr w:type="spellEnd"/>
            <w:r>
              <w:rPr>
                <w:i/>
                <w:iCs/>
                <w:color w:val="000000"/>
              </w:rPr>
              <w:t xml:space="preserve"> "УКРАЇНСЬКА БIРЖА" </w:t>
            </w:r>
          </w:p>
        </w:tc>
      </w:tr>
      <w:tr w:rsidR="00067ABB" w:rsidTr="00067ABB">
        <w:tc>
          <w:tcPr>
            <w:tcW w:w="0" w:type="auto"/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>2. Код за ЄДРПОУ</w:t>
            </w:r>
          </w:p>
        </w:tc>
        <w:tc>
          <w:tcPr>
            <w:tcW w:w="0" w:type="auto"/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>36184092</w:t>
            </w:r>
          </w:p>
        </w:tc>
      </w:tr>
      <w:tr w:rsidR="00067ABB" w:rsidTr="00067ABB">
        <w:tc>
          <w:tcPr>
            <w:tcW w:w="0" w:type="auto"/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proofErr w:type="spellStart"/>
            <w:r>
              <w:rPr>
                <w:color w:val="000000"/>
              </w:rPr>
              <w:t>Місцезнаходження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01004, </w:t>
            </w:r>
            <w:proofErr w:type="spellStart"/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сто</w:t>
            </w:r>
            <w:proofErr w:type="spellEnd"/>
            <w:r>
              <w:rPr>
                <w:color w:val="000000"/>
              </w:rPr>
              <w:t xml:space="preserve"> Київ, </w:t>
            </w:r>
            <w:proofErr w:type="spellStart"/>
            <w:r>
              <w:rPr>
                <w:color w:val="000000"/>
              </w:rPr>
              <w:t>вул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Шовковична</w:t>
            </w:r>
            <w:proofErr w:type="spellEnd"/>
            <w:r>
              <w:rPr>
                <w:color w:val="000000"/>
              </w:rPr>
              <w:t xml:space="preserve">, 42-44 </w:t>
            </w:r>
          </w:p>
        </w:tc>
      </w:tr>
      <w:tr w:rsidR="00067ABB" w:rsidTr="00067ABB">
        <w:tc>
          <w:tcPr>
            <w:tcW w:w="0" w:type="auto"/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proofErr w:type="spellStart"/>
            <w:r>
              <w:rPr>
                <w:color w:val="000000"/>
              </w:rPr>
              <w:t>Міжміський</w:t>
            </w:r>
            <w:proofErr w:type="spellEnd"/>
            <w:r>
              <w:rPr>
                <w:color w:val="000000"/>
              </w:rPr>
              <w:t xml:space="preserve"> код, телефон та факс</w:t>
            </w:r>
          </w:p>
        </w:tc>
        <w:tc>
          <w:tcPr>
            <w:tcW w:w="0" w:type="auto"/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044 495 74 </w:t>
            </w:r>
            <w:proofErr w:type="spellStart"/>
            <w:r>
              <w:rPr>
                <w:color w:val="000000"/>
              </w:rPr>
              <w:t>74</w:t>
            </w:r>
            <w:proofErr w:type="spellEnd"/>
            <w:r>
              <w:rPr>
                <w:color w:val="000000"/>
              </w:rPr>
              <w:t xml:space="preserve"> 044 495 74 73</w:t>
            </w:r>
          </w:p>
        </w:tc>
      </w:tr>
      <w:tr w:rsidR="00067ABB" w:rsidTr="00067ABB">
        <w:tc>
          <w:tcPr>
            <w:tcW w:w="0" w:type="auto"/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5. </w:t>
            </w:r>
            <w:proofErr w:type="spellStart"/>
            <w:r>
              <w:rPr>
                <w:color w:val="000000"/>
              </w:rPr>
              <w:t>Електронна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поштова</w:t>
            </w:r>
            <w:proofErr w:type="spellEnd"/>
            <w:r>
              <w:rPr>
                <w:color w:val="000000"/>
              </w:rPr>
              <w:t xml:space="preserve"> адреса</w:t>
            </w:r>
          </w:p>
        </w:tc>
        <w:tc>
          <w:tcPr>
            <w:tcW w:w="0" w:type="auto"/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ym@ux.ua </w:t>
            </w:r>
          </w:p>
        </w:tc>
      </w:tr>
      <w:tr w:rsidR="00067ABB" w:rsidTr="00067ABB">
        <w:tc>
          <w:tcPr>
            <w:tcW w:w="0" w:type="auto"/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6. Адреса </w:t>
            </w:r>
            <w:proofErr w:type="spellStart"/>
            <w:r>
              <w:rPr>
                <w:color w:val="000000"/>
              </w:rPr>
              <w:t>сторінки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мереж</w:t>
            </w:r>
            <w:proofErr w:type="gramEnd"/>
            <w:r>
              <w:rPr>
                <w:color w:val="000000"/>
              </w:rPr>
              <w:t>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Інтернет</w:t>
            </w:r>
            <w:proofErr w:type="spellEnd"/>
            <w:r>
              <w:rPr>
                <w:color w:val="000000"/>
              </w:rPr>
              <w:t xml:space="preserve">, яка </w:t>
            </w:r>
            <w:proofErr w:type="spellStart"/>
            <w:r>
              <w:rPr>
                <w:color w:val="000000"/>
              </w:rPr>
              <w:t>додатково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використовується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емітентом</w:t>
            </w:r>
            <w:proofErr w:type="spell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розкриття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ux.ua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067ABB" w:rsidTr="00067ABB">
        <w:tc>
          <w:tcPr>
            <w:tcW w:w="0" w:type="auto"/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7. Вид </w:t>
            </w:r>
            <w:proofErr w:type="spellStart"/>
            <w:r>
              <w:rPr>
                <w:color w:val="000000"/>
              </w:rPr>
              <w:t>особливої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Змі</w:t>
            </w:r>
            <w:proofErr w:type="gramStart"/>
            <w:r>
              <w:rPr>
                <w:color w:val="000000"/>
              </w:rPr>
              <w:t>на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складу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посадових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осіб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емітента</w:t>
            </w:r>
            <w:proofErr w:type="spellEnd"/>
          </w:p>
        </w:tc>
      </w:tr>
      <w:tr w:rsidR="00067ABB" w:rsidTr="00067ABB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ABB" w:rsidRDefault="00067AB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7ABB" w:rsidRDefault="00067ABB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067ABB" w:rsidRDefault="00067ABB" w:rsidP="00067ABB">
      <w:pPr>
        <w:pStyle w:val="3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II. Текст </w:t>
      </w:r>
      <w:proofErr w:type="spellStart"/>
      <w:r>
        <w:rPr>
          <w:rFonts w:eastAsia="Times New Roman"/>
          <w:color w:val="000000"/>
        </w:rPr>
        <w:t>повідомлення</w:t>
      </w:r>
      <w:proofErr w:type="spellEnd"/>
    </w:p>
    <w:tbl>
      <w:tblPr>
        <w:tblW w:w="5000" w:type="pct"/>
        <w:tblLook w:val="04A0"/>
      </w:tblPr>
      <w:tblGrid>
        <w:gridCol w:w="9475"/>
      </w:tblGrid>
      <w:tr w:rsidR="00067ABB" w:rsidRPr="00EB78B3" w:rsidTr="00067ABB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 w:rsidP="00CC51F8">
            <w:pPr>
              <w:ind w:firstLine="200"/>
              <w:jc w:val="both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Рiшення</w:t>
            </w:r>
            <w:proofErr w:type="spellEnd"/>
            <w:r>
              <w:rPr>
                <w:color w:val="000000"/>
                <w:lang w:val="uk-UA"/>
              </w:rPr>
              <w:t xml:space="preserve"> про </w:t>
            </w:r>
            <w:proofErr w:type="spellStart"/>
            <w:r>
              <w:rPr>
                <w:color w:val="000000"/>
                <w:lang w:val="uk-UA"/>
              </w:rPr>
              <w:t>змiну</w:t>
            </w:r>
            <w:proofErr w:type="spellEnd"/>
            <w:r>
              <w:rPr>
                <w:color w:val="000000"/>
                <w:lang w:val="uk-UA"/>
              </w:rPr>
              <w:t xml:space="preserve"> складу посадових </w:t>
            </w:r>
            <w:proofErr w:type="spellStart"/>
            <w:r>
              <w:rPr>
                <w:color w:val="000000"/>
                <w:lang w:val="uk-UA"/>
              </w:rPr>
              <w:t>осiб</w:t>
            </w:r>
            <w:proofErr w:type="spellEnd"/>
            <w:r>
              <w:rPr>
                <w:color w:val="000000"/>
                <w:lang w:val="uk-UA"/>
              </w:rPr>
              <w:t xml:space="preserve"> було прийнято </w:t>
            </w:r>
            <w:r w:rsidR="00E46D0F">
              <w:rPr>
                <w:color w:val="000000"/>
                <w:lang w:val="uk-UA"/>
              </w:rPr>
              <w:t>18</w:t>
            </w:r>
            <w:r>
              <w:rPr>
                <w:color w:val="000000"/>
                <w:lang w:val="uk-UA"/>
              </w:rPr>
              <w:t>.05.201</w:t>
            </w:r>
            <w:r w:rsidR="00CC51F8">
              <w:rPr>
                <w:color w:val="000000"/>
                <w:lang w:val="uk-UA"/>
              </w:rPr>
              <w:t>5</w:t>
            </w:r>
            <w:r>
              <w:rPr>
                <w:color w:val="000000"/>
                <w:lang w:val="uk-UA"/>
              </w:rPr>
              <w:t xml:space="preserve"> на </w:t>
            </w:r>
            <w:proofErr w:type="spellStart"/>
            <w:r>
              <w:rPr>
                <w:color w:val="000000"/>
                <w:lang w:val="uk-UA"/>
              </w:rPr>
              <w:t>Засiданнi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Бiржової</w:t>
            </w:r>
            <w:proofErr w:type="spellEnd"/>
            <w:r>
              <w:rPr>
                <w:color w:val="000000"/>
                <w:lang w:val="uk-UA"/>
              </w:rPr>
              <w:t xml:space="preserve"> ради ПАТ</w:t>
            </w:r>
            <w:r w:rsidR="00E46D0F">
              <w:rPr>
                <w:color w:val="000000"/>
                <w:lang w:val="uk-UA"/>
              </w:rPr>
              <w:t xml:space="preserve"> "УКРАЇНСЬКА БIРЖА" (Протокол №8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вiд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="00E46D0F">
              <w:rPr>
                <w:color w:val="000000"/>
                <w:lang w:val="uk-UA"/>
              </w:rPr>
              <w:t>18</w:t>
            </w:r>
            <w:r>
              <w:rPr>
                <w:color w:val="000000"/>
                <w:lang w:val="uk-UA"/>
              </w:rPr>
              <w:t>.05.201</w:t>
            </w:r>
            <w:r w:rsidR="00CC51F8">
              <w:rPr>
                <w:color w:val="000000"/>
                <w:lang w:val="uk-UA"/>
              </w:rPr>
              <w:t>5</w:t>
            </w:r>
            <w:r>
              <w:rPr>
                <w:color w:val="000000"/>
                <w:lang w:val="uk-UA"/>
              </w:rPr>
              <w:t xml:space="preserve">). </w:t>
            </w:r>
            <w:proofErr w:type="spellStart"/>
            <w:r>
              <w:rPr>
                <w:color w:val="000000"/>
                <w:lang w:val="uk-UA"/>
              </w:rPr>
              <w:t>Згiдно</w:t>
            </w:r>
            <w:proofErr w:type="spellEnd"/>
            <w:r>
              <w:rPr>
                <w:color w:val="000000"/>
                <w:lang w:val="uk-UA"/>
              </w:rPr>
              <w:t xml:space="preserve"> цього </w:t>
            </w:r>
            <w:proofErr w:type="spellStart"/>
            <w:r>
              <w:rPr>
                <w:color w:val="000000"/>
                <w:lang w:val="uk-UA"/>
              </w:rPr>
              <w:t>рiшення</w:t>
            </w:r>
            <w:proofErr w:type="spellEnd"/>
            <w:r>
              <w:rPr>
                <w:color w:val="000000"/>
                <w:lang w:val="uk-UA"/>
              </w:rPr>
              <w:t xml:space="preserve"> обрано Головою </w:t>
            </w:r>
            <w:proofErr w:type="spellStart"/>
            <w:r>
              <w:rPr>
                <w:color w:val="000000"/>
                <w:lang w:val="uk-UA"/>
              </w:rPr>
              <w:t>Бiржової</w:t>
            </w:r>
            <w:proofErr w:type="spellEnd"/>
            <w:r>
              <w:rPr>
                <w:color w:val="000000"/>
                <w:lang w:val="uk-UA"/>
              </w:rPr>
              <w:t xml:space="preserve"> ради Члена </w:t>
            </w:r>
            <w:proofErr w:type="spellStart"/>
            <w:r>
              <w:rPr>
                <w:color w:val="000000"/>
                <w:lang w:val="uk-UA"/>
              </w:rPr>
              <w:t>Бiржової</w:t>
            </w:r>
            <w:proofErr w:type="spellEnd"/>
            <w:r>
              <w:rPr>
                <w:color w:val="000000"/>
                <w:lang w:val="uk-UA"/>
              </w:rPr>
              <w:t xml:space="preserve"> ради Мазепу Ігоря Олександровича, у зв’язку з переобранням складу </w:t>
            </w:r>
            <w:proofErr w:type="spellStart"/>
            <w:r>
              <w:rPr>
                <w:color w:val="000000"/>
                <w:lang w:val="uk-UA"/>
              </w:rPr>
              <w:t>Бiржової</w:t>
            </w:r>
            <w:proofErr w:type="spellEnd"/>
            <w:r>
              <w:rPr>
                <w:color w:val="000000"/>
                <w:lang w:val="uk-UA"/>
              </w:rPr>
              <w:t xml:space="preserve"> ради, згоди на розкриття паспортних даних не надано, </w:t>
            </w:r>
            <w:proofErr w:type="spellStart"/>
            <w:r>
              <w:rPr>
                <w:color w:val="000000"/>
                <w:lang w:val="uk-UA"/>
              </w:rPr>
              <w:t>акцiями</w:t>
            </w:r>
            <w:proofErr w:type="spellEnd"/>
            <w:r>
              <w:rPr>
                <w:color w:val="000000"/>
                <w:lang w:val="uk-UA"/>
              </w:rPr>
              <w:t xml:space="preserve"> ПАТ «УКРАЇНСЬКА БIРЖА» не </w:t>
            </w:r>
            <w:proofErr w:type="spellStart"/>
            <w:r>
              <w:rPr>
                <w:color w:val="000000"/>
                <w:lang w:val="uk-UA"/>
              </w:rPr>
              <w:t>володiє</w:t>
            </w:r>
            <w:proofErr w:type="spellEnd"/>
            <w:r>
              <w:rPr>
                <w:color w:val="000000"/>
                <w:lang w:val="uk-UA"/>
              </w:rPr>
              <w:t xml:space="preserve">, не має непогашеної </w:t>
            </w:r>
            <w:proofErr w:type="spellStart"/>
            <w:r>
              <w:rPr>
                <w:color w:val="000000"/>
                <w:lang w:val="uk-UA"/>
              </w:rPr>
              <w:t>судимостi</w:t>
            </w:r>
            <w:proofErr w:type="spellEnd"/>
            <w:r>
              <w:rPr>
                <w:color w:val="000000"/>
                <w:lang w:val="uk-UA"/>
              </w:rPr>
              <w:t xml:space="preserve"> за </w:t>
            </w:r>
            <w:proofErr w:type="spellStart"/>
            <w:r>
              <w:rPr>
                <w:color w:val="000000"/>
                <w:lang w:val="uk-UA"/>
              </w:rPr>
              <w:t>корисливi</w:t>
            </w:r>
            <w:proofErr w:type="spellEnd"/>
            <w:r>
              <w:rPr>
                <w:color w:val="000000"/>
                <w:lang w:val="uk-UA"/>
              </w:rPr>
              <w:t xml:space="preserve"> та </w:t>
            </w:r>
            <w:proofErr w:type="spellStart"/>
            <w:r>
              <w:rPr>
                <w:color w:val="000000"/>
                <w:lang w:val="uk-UA"/>
              </w:rPr>
              <w:t>посадовi</w:t>
            </w:r>
            <w:proofErr w:type="spellEnd"/>
            <w:r>
              <w:rPr>
                <w:color w:val="000000"/>
                <w:lang w:val="uk-UA"/>
              </w:rPr>
              <w:t xml:space="preserve"> злочини, займає посаду Генерального директора ТОВ "</w:t>
            </w:r>
            <w:proofErr w:type="spellStart"/>
            <w:r>
              <w:rPr>
                <w:color w:val="000000"/>
                <w:lang w:val="uk-UA"/>
              </w:rPr>
              <w:t>Конкорд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Капiтал</w:t>
            </w:r>
            <w:proofErr w:type="spellEnd"/>
            <w:r>
              <w:rPr>
                <w:color w:val="000000"/>
                <w:lang w:val="uk-UA"/>
              </w:rPr>
              <w:t xml:space="preserve">" </w:t>
            </w:r>
          </w:p>
        </w:tc>
      </w:tr>
    </w:tbl>
    <w:p w:rsidR="00067ABB" w:rsidRDefault="00067ABB" w:rsidP="00067ABB">
      <w:pPr>
        <w:pStyle w:val="3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III. </w:t>
      </w:r>
      <w:proofErr w:type="spellStart"/>
      <w:r>
        <w:rPr>
          <w:rFonts w:eastAsia="Times New Roman"/>
          <w:color w:val="000000"/>
        </w:rPr>
        <w:t>Підпис</w:t>
      </w:r>
      <w:proofErr w:type="spellEnd"/>
    </w:p>
    <w:tbl>
      <w:tblPr>
        <w:tblW w:w="5000" w:type="pct"/>
        <w:tblLook w:val="04A0"/>
      </w:tblPr>
      <w:tblGrid>
        <w:gridCol w:w="3850"/>
        <w:gridCol w:w="180"/>
        <w:gridCol w:w="821"/>
        <w:gridCol w:w="180"/>
        <w:gridCol w:w="56"/>
        <w:gridCol w:w="4388"/>
      </w:tblGrid>
      <w:tr w:rsidR="00067ABB" w:rsidTr="00067ABB">
        <w:tc>
          <w:tcPr>
            <w:tcW w:w="9475" w:type="dxa"/>
            <w:gridSpan w:val="6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 w:rsidP="00067AB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Особа, </w:t>
            </w:r>
            <w:proofErr w:type="spellStart"/>
            <w:r>
              <w:rPr>
                <w:color w:val="000000"/>
              </w:rPr>
              <w:t>зазначена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нижче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ідтверджує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достовірність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інформації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міститься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повідомленні</w:t>
            </w:r>
            <w:proofErr w:type="spellEnd"/>
            <w:r>
              <w:rPr>
                <w:color w:val="000000"/>
              </w:rPr>
              <w:t xml:space="preserve">, та </w:t>
            </w:r>
            <w:proofErr w:type="spellStart"/>
            <w:r>
              <w:rPr>
                <w:color w:val="000000"/>
              </w:rPr>
              <w:t>визнає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що</w:t>
            </w:r>
            <w:proofErr w:type="spellEnd"/>
            <w:r>
              <w:rPr>
                <w:color w:val="000000"/>
              </w:rPr>
              <w:t xml:space="preserve"> вона </w:t>
            </w:r>
            <w:proofErr w:type="spellStart"/>
            <w:r>
              <w:rPr>
                <w:color w:val="000000"/>
              </w:rPr>
              <w:t>несе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відповідальність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згідно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законодавством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</w:tr>
      <w:tr w:rsidR="00067ABB" w:rsidTr="00067ABB">
        <w:tc>
          <w:tcPr>
            <w:tcW w:w="38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 w:rsidP="00067ABB">
            <w:pPr>
              <w:rPr>
                <w:color w:val="000000"/>
              </w:rPr>
            </w:pPr>
            <w:r>
              <w:rPr>
                <w:color w:val="000000"/>
              </w:rPr>
              <w:t xml:space="preserve">2. Голова </w:t>
            </w:r>
            <w:proofErr w:type="spellStart"/>
            <w:r>
              <w:rPr>
                <w:color w:val="000000"/>
              </w:rPr>
              <w:t>Правл</w:t>
            </w:r>
            <w:proofErr w:type="gramStart"/>
            <w:r>
              <w:rPr>
                <w:color w:val="000000"/>
              </w:rPr>
              <w:t>i</w:t>
            </w:r>
            <w:proofErr w:type="gramEnd"/>
            <w:r>
              <w:rPr>
                <w:color w:val="000000"/>
              </w:rPr>
              <w:t>ння</w:t>
            </w:r>
            <w:proofErr w:type="spellEnd"/>
          </w:p>
        </w:tc>
        <w:tc>
          <w:tcPr>
            <w:tcW w:w="1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4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Ткаченко Олег </w:t>
            </w:r>
            <w:proofErr w:type="spellStart"/>
            <w:r>
              <w:rPr>
                <w:color w:val="000000"/>
              </w:rPr>
              <w:t>Васильович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067ABB" w:rsidTr="00067ABB">
        <w:tc>
          <w:tcPr>
            <w:tcW w:w="38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>
            <w:pPr>
              <w:jc w:val="center"/>
              <w:rPr>
                <w:color w:val="000000"/>
              </w:rPr>
            </w:pPr>
          </w:p>
        </w:tc>
        <w:tc>
          <w:tcPr>
            <w:tcW w:w="1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2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</w:t>
            </w:r>
            <w:proofErr w:type="spellStart"/>
            <w:proofErr w:type="gramStart"/>
            <w:r>
              <w:rPr>
                <w:rStyle w:val="small-text1"/>
                <w:color w:val="000000"/>
              </w:rPr>
              <w:t>п</w:t>
            </w:r>
            <w:proofErr w:type="gramEnd"/>
            <w:r>
              <w:rPr>
                <w:rStyle w:val="small-text1"/>
                <w:color w:val="000000"/>
              </w:rPr>
              <w:t>ідпис</w:t>
            </w:r>
            <w:proofErr w:type="spellEnd"/>
            <w:r>
              <w:rPr>
                <w:rStyle w:val="small-text1"/>
                <w:color w:val="000000"/>
              </w:rPr>
              <w:t>)</w:t>
            </w:r>
          </w:p>
        </w:tc>
        <w:tc>
          <w:tcPr>
            <w:tcW w:w="1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44" w:type="dxa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>
            <w:pPr>
              <w:jc w:val="center"/>
              <w:rPr>
                <w:color w:val="000000"/>
              </w:rPr>
            </w:pPr>
          </w:p>
        </w:tc>
      </w:tr>
      <w:tr w:rsidR="00067ABB" w:rsidTr="00067ABB">
        <w:tc>
          <w:tcPr>
            <w:tcW w:w="385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0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21" w:type="dxa"/>
            <w:vMerge w:val="restart"/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444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Pr="00CC51F8" w:rsidRDefault="00E46D0F" w:rsidP="00CC51F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</w:t>
            </w:r>
            <w:r w:rsidR="00067ABB">
              <w:rPr>
                <w:color w:val="000000"/>
              </w:rPr>
              <w:t>.05.201</w:t>
            </w:r>
            <w:r w:rsidR="00CC51F8">
              <w:rPr>
                <w:color w:val="000000"/>
                <w:lang w:val="uk-UA"/>
              </w:rPr>
              <w:t>5</w:t>
            </w:r>
          </w:p>
        </w:tc>
      </w:tr>
      <w:tr w:rsidR="00067ABB" w:rsidTr="00067ABB">
        <w:tc>
          <w:tcPr>
            <w:tcW w:w="3850" w:type="dxa"/>
            <w:vMerge/>
            <w:vAlign w:val="center"/>
            <w:hideMark/>
          </w:tcPr>
          <w:p w:rsidR="00067ABB" w:rsidRDefault="00067AB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80" w:type="dxa"/>
            <w:vMerge/>
            <w:vAlign w:val="center"/>
            <w:hideMark/>
          </w:tcPr>
          <w:p w:rsidR="00067ABB" w:rsidRDefault="00067AB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067ABB" w:rsidRDefault="00067ABB">
            <w:pPr>
              <w:rPr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67ABB" w:rsidRDefault="00067AB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38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ABB" w:rsidRDefault="00067ABB">
            <w:pPr>
              <w:jc w:val="center"/>
              <w:rPr>
                <w:color w:val="000000"/>
              </w:rPr>
            </w:pPr>
          </w:p>
        </w:tc>
      </w:tr>
    </w:tbl>
    <w:p w:rsidR="009A0477" w:rsidRDefault="009A0477" w:rsidP="009A0477">
      <w:pPr>
        <w:pStyle w:val="ac"/>
        <w:ind w:firstLine="5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A0477" w:rsidRDefault="009A0477" w:rsidP="009A0477">
      <w:pPr>
        <w:pStyle w:val="ac"/>
        <w:ind w:firstLine="565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A0477" w:rsidSect="00067AB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1EB3"/>
    <w:multiLevelType w:val="hybridMultilevel"/>
    <w:tmpl w:val="419E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12866"/>
    <w:multiLevelType w:val="hybridMultilevel"/>
    <w:tmpl w:val="1D3ABB34"/>
    <w:lvl w:ilvl="0" w:tplc="4022DEFC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>
    <w:nsid w:val="55196476"/>
    <w:multiLevelType w:val="hybridMultilevel"/>
    <w:tmpl w:val="7E7CC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D794A"/>
    <w:multiLevelType w:val="hybridMultilevel"/>
    <w:tmpl w:val="DAC0A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C5154"/>
    <w:multiLevelType w:val="hybridMultilevel"/>
    <w:tmpl w:val="BC5ED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63547"/>
    <w:multiLevelType w:val="hybridMultilevel"/>
    <w:tmpl w:val="98BE2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4C4516"/>
    <w:multiLevelType w:val="hybridMultilevel"/>
    <w:tmpl w:val="20C21FCE"/>
    <w:lvl w:ilvl="0" w:tplc="F5F0A6F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42318"/>
    <w:rsid w:val="000260FF"/>
    <w:rsid w:val="00041172"/>
    <w:rsid w:val="00067ABB"/>
    <w:rsid w:val="00082B2C"/>
    <w:rsid w:val="000E20D8"/>
    <w:rsid w:val="000F2EF6"/>
    <w:rsid w:val="00114199"/>
    <w:rsid w:val="001157C9"/>
    <w:rsid w:val="001207F4"/>
    <w:rsid w:val="00120F64"/>
    <w:rsid w:val="0012247E"/>
    <w:rsid w:val="00180EF4"/>
    <w:rsid w:val="00185DED"/>
    <w:rsid w:val="001A0D4A"/>
    <w:rsid w:val="001A3127"/>
    <w:rsid w:val="001B0505"/>
    <w:rsid w:val="001C4127"/>
    <w:rsid w:val="001D7CA2"/>
    <w:rsid w:val="002252A6"/>
    <w:rsid w:val="00227DFF"/>
    <w:rsid w:val="0023086F"/>
    <w:rsid w:val="00244E9E"/>
    <w:rsid w:val="002507F0"/>
    <w:rsid w:val="00250A26"/>
    <w:rsid w:val="00280445"/>
    <w:rsid w:val="002833FC"/>
    <w:rsid w:val="00291749"/>
    <w:rsid w:val="002A13F2"/>
    <w:rsid w:val="002A5BBA"/>
    <w:rsid w:val="0031469F"/>
    <w:rsid w:val="003321A5"/>
    <w:rsid w:val="00370C96"/>
    <w:rsid w:val="00374918"/>
    <w:rsid w:val="00381532"/>
    <w:rsid w:val="00381674"/>
    <w:rsid w:val="00386A3E"/>
    <w:rsid w:val="00391DF3"/>
    <w:rsid w:val="003B6145"/>
    <w:rsid w:val="003B76AA"/>
    <w:rsid w:val="003C1C6E"/>
    <w:rsid w:val="003C4DC2"/>
    <w:rsid w:val="003E4171"/>
    <w:rsid w:val="0043348C"/>
    <w:rsid w:val="00455CC1"/>
    <w:rsid w:val="004606A7"/>
    <w:rsid w:val="00466400"/>
    <w:rsid w:val="00490346"/>
    <w:rsid w:val="004C55FE"/>
    <w:rsid w:val="00511B98"/>
    <w:rsid w:val="00516BA6"/>
    <w:rsid w:val="005354E0"/>
    <w:rsid w:val="0059193F"/>
    <w:rsid w:val="005A1630"/>
    <w:rsid w:val="005F7C08"/>
    <w:rsid w:val="006000BB"/>
    <w:rsid w:val="00606E69"/>
    <w:rsid w:val="00624D0A"/>
    <w:rsid w:val="0065531D"/>
    <w:rsid w:val="00662EB0"/>
    <w:rsid w:val="00664802"/>
    <w:rsid w:val="00697E4F"/>
    <w:rsid w:val="006A086B"/>
    <w:rsid w:val="006B21B3"/>
    <w:rsid w:val="00705497"/>
    <w:rsid w:val="0073234E"/>
    <w:rsid w:val="00732DED"/>
    <w:rsid w:val="007368EF"/>
    <w:rsid w:val="00744529"/>
    <w:rsid w:val="00764A36"/>
    <w:rsid w:val="007A1C80"/>
    <w:rsid w:val="0080297C"/>
    <w:rsid w:val="008043F3"/>
    <w:rsid w:val="00847924"/>
    <w:rsid w:val="00856008"/>
    <w:rsid w:val="00886928"/>
    <w:rsid w:val="00886AB2"/>
    <w:rsid w:val="00893BC8"/>
    <w:rsid w:val="008A178A"/>
    <w:rsid w:val="008A2671"/>
    <w:rsid w:val="008B6674"/>
    <w:rsid w:val="008C338F"/>
    <w:rsid w:val="008D634A"/>
    <w:rsid w:val="008E44C5"/>
    <w:rsid w:val="008E5F99"/>
    <w:rsid w:val="008F1DBB"/>
    <w:rsid w:val="008F6FDA"/>
    <w:rsid w:val="009013CF"/>
    <w:rsid w:val="00911564"/>
    <w:rsid w:val="009276A7"/>
    <w:rsid w:val="00966645"/>
    <w:rsid w:val="00987A5A"/>
    <w:rsid w:val="009A0477"/>
    <w:rsid w:val="009C3673"/>
    <w:rsid w:val="00A0284B"/>
    <w:rsid w:val="00A05A1B"/>
    <w:rsid w:val="00A467EE"/>
    <w:rsid w:val="00A92562"/>
    <w:rsid w:val="00AB5A3D"/>
    <w:rsid w:val="00AC5A2A"/>
    <w:rsid w:val="00AD20E7"/>
    <w:rsid w:val="00AF08D6"/>
    <w:rsid w:val="00AF4EFE"/>
    <w:rsid w:val="00AF6FFC"/>
    <w:rsid w:val="00B1453B"/>
    <w:rsid w:val="00B2688A"/>
    <w:rsid w:val="00B26C3A"/>
    <w:rsid w:val="00B2712B"/>
    <w:rsid w:val="00B81D4B"/>
    <w:rsid w:val="00BA0E73"/>
    <w:rsid w:val="00BA575C"/>
    <w:rsid w:val="00BC16CB"/>
    <w:rsid w:val="00BD70C5"/>
    <w:rsid w:val="00BE1334"/>
    <w:rsid w:val="00BF16DE"/>
    <w:rsid w:val="00BF4D3A"/>
    <w:rsid w:val="00C04C16"/>
    <w:rsid w:val="00C20EA0"/>
    <w:rsid w:val="00C24E80"/>
    <w:rsid w:val="00C4265D"/>
    <w:rsid w:val="00C456C5"/>
    <w:rsid w:val="00C55347"/>
    <w:rsid w:val="00C60C6D"/>
    <w:rsid w:val="00C61791"/>
    <w:rsid w:val="00C90011"/>
    <w:rsid w:val="00CA5226"/>
    <w:rsid w:val="00CC51F8"/>
    <w:rsid w:val="00CD087F"/>
    <w:rsid w:val="00D10DAB"/>
    <w:rsid w:val="00D11914"/>
    <w:rsid w:val="00D211D3"/>
    <w:rsid w:val="00D349B0"/>
    <w:rsid w:val="00D760CB"/>
    <w:rsid w:val="00D963A9"/>
    <w:rsid w:val="00E44AA0"/>
    <w:rsid w:val="00E46D0F"/>
    <w:rsid w:val="00E63F72"/>
    <w:rsid w:val="00E657A1"/>
    <w:rsid w:val="00E9518D"/>
    <w:rsid w:val="00EB78B3"/>
    <w:rsid w:val="00EC3040"/>
    <w:rsid w:val="00ED32DB"/>
    <w:rsid w:val="00EE08A7"/>
    <w:rsid w:val="00EF3F1C"/>
    <w:rsid w:val="00EF4175"/>
    <w:rsid w:val="00F05471"/>
    <w:rsid w:val="00F42318"/>
    <w:rsid w:val="00F463A4"/>
    <w:rsid w:val="00F60ED0"/>
    <w:rsid w:val="00F62030"/>
    <w:rsid w:val="00F815BF"/>
    <w:rsid w:val="00FA429C"/>
    <w:rsid w:val="00FB61A0"/>
    <w:rsid w:val="00FD07A2"/>
    <w:rsid w:val="00FE1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445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42318"/>
    <w:pPr>
      <w:jc w:val="center"/>
    </w:pPr>
    <w:rPr>
      <w:rFonts w:ascii="Arial" w:hAnsi="Arial" w:cs="Arial"/>
      <w:b/>
      <w:bCs/>
      <w:sz w:val="40"/>
      <w:lang w:val="uk-UA"/>
    </w:rPr>
  </w:style>
  <w:style w:type="character" w:customStyle="1" w:styleId="a4">
    <w:name w:val="Название Знак"/>
    <w:basedOn w:val="a0"/>
    <w:link w:val="a3"/>
    <w:uiPriority w:val="10"/>
    <w:rsid w:val="00F42318"/>
    <w:rPr>
      <w:rFonts w:ascii="Arial" w:eastAsia="Times New Roman" w:hAnsi="Arial" w:cs="Arial"/>
      <w:b/>
      <w:bCs/>
      <w:sz w:val="40"/>
      <w:szCs w:val="24"/>
      <w:lang w:val="uk-UA" w:eastAsia="ru-RU"/>
    </w:rPr>
  </w:style>
  <w:style w:type="paragraph" w:styleId="a5">
    <w:name w:val="Body Text"/>
    <w:basedOn w:val="a"/>
    <w:link w:val="a6"/>
    <w:rsid w:val="00F42318"/>
    <w:pPr>
      <w:jc w:val="both"/>
    </w:pPr>
    <w:rPr>
      <w:rFonts w:ascii="Arial" w:hAnsi="Arial" w:cs="Arial"/>
      <w:lang w:val="uk-UA"/>
    </w:rPr>
  </w:style>
  <w:style w:type="character" w:customStyle="1" w:styleId="a6">
    <w:name w:val="Основной текст Знак"/>
    <w:basedOn w:val="a0"/>
    <w:link w:val="a5"/>
    <w:rsid w:val="00F42318"/>
    <w:rPr>
      <w:rFonts w:ascii="Arial" w:eastAsia="Times New Roman" w:hAnsi="Arial" w:cs="Arial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F423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231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354E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349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445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8A2671"/>
    <w:rPr>
      <w:b/>
      <w:bCs/>
    </w:rPr>
  </w:style>
  <w:style w:type="paragraph" w:styleId="ac">
    <w:name w:val="No Spacing"/>
    <w:uiPriority w:val="1"/>
    <w:qFormat/>
    <w:rsid w:val="001A31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07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D07A2"/>
    <w:pPr>
      <w:ind w:firstLine="851"/>
      <w:jc w:val="both"/>
    </w:pPr>
    <w:rPr>
      <w:szCs w:val="20"/>
    </w:rPr>
  </w:style>
  <w:style w:type="paragraph" w:styleId="ad">
    <w:name w:val="Normal (Web)"/>
    <w:basedOn w:val="a"/>
    <w:uiPriority w:val="99"/>
    <w:unhideWhenUsed/>
    <w:rsid w:val="00FD07A2"/>
    <w:pPr>
      <w:spacing w:before="100" w:beforeAutospacing="1" w:after="100" w:afterAutospacing="1"/>
    </w:pPr>
  </w:style>
  <w:style w:type="character" w:customStyle="1" w:styleId="small-text1">
    <w:name w:val="small-text1"/>
    <w:basedOn w:val="a0"/>
    <w:rsid w:val="009A047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ACA2-14A2-45BA-924C-ABD89220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</dc:creator>
  <cp:keywords/>
  <dc:description/>
  <cp:lastModifiedBy>mch</cp:lastModifiedBy>
  <cp:revision>2</cp:revision>
  <cp:lastPrinted>2014-04-25T10:16:00Z</cp:lastPrinted>
  <dcterms:created xsi:type="dcterms:W3CDTF">2015-05-22T12:53:00Z</dcterms:created>
  <dcterms:modified xsi:type="dcterms:W3CDTF">2015-05-22T12:53:00Z</dcterms:modified>
</cp:coreProperties>
</file>