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C5" w:rsidRPr="00E567AB" w:rsidRDefault="00A201C5">
      <w:pPr>
        <w:jc w:val="center"/>
        <w:rPr>
          <w:rFonts w:ascii="Arial" w:hAnsi="Arial" w:cs="Arial"/>
          <w:lang w:val="en-US"/>
        </w:rPr>
      </w:pPr>
      <w:r w:rsidRPr="00E567AB">
        <w:rPr>
          <w:rFonts w:ascii="Arial" w:hAnsi="Arial" w:cs="Arial"/>
          <w:lang w:val="en-US"/>
        </w:rPr>
        <w:t xml:space="preserve">Methodology </w:t>
      </w:r>
    </w:p>
    <w:p w:rsidR="00A201C5" w:rsidRPr="00E567AB" w:rsidRDefault="00A201C5">
      <w:pPr>
        <w:jc w:val="center"/>
        <w:rPr>
          <w:rFonts w:ascii="Arial" w:hAnsi="Arial" w:cs="Arial"/>
          <w:lang w:val="en-US"/>
        </w:rPr>
      </w:pPr>
      <w:r w:rsidRPr="00E567AB">
        <w:rPr>
          <w:rFonts w:ascii="Arial" w:hAnsi="Arial" w:cs="Arial"/>
          <w:lang w:val="en-US"/>
        </w:rPr>
        <w:t xml:space="preserve">Of Ukrainian Equities Index Calculation </w:t>
      </w:r>
    </w:p>
    <w:p w:rsidR="00E967A7" w:rsidRPr="00CE696B" w:rsidRDefault="00E967A7">
      <w:pPr>
        <w:jc w:val="center"/>
        <w:rPr>
          <w:rFonts w:ascii="Arial" w:hAnsi="Arial" w:cs="Arial"/>
          <w:b/>
          <w:lang w:val="en-US"/>
        </w:rPr>
      </w:pPr>
    </w:p>
    <w:p w:rsidR="00E967A7" w:rsidRDefault="00A201C5">
      <w:pPr>
        <w:keepNext/>
        <w:numPr>
          <w:ilvl w:val="0"/>
          <w:numId w:val="5"/>
        </w:numPr>
        <w:spacing w:before="284" w:after="240"/>
        <w:rPr>
          <w:rFonts w:ascii="Arial" w:hAnsi="Arial" w:cs="Arial"/>
          <w:b/>
          <w:sz w:val="20"/>
        </w:rPr>
      </w:pPr>
      <w:r>
        <w:rPr>
          <w:rFonts w:ascii="Arial" w:hAnsi="Arial" w:cs="Arial"/>
          <w:b/>
          <w:sz w:val="20"/>
          <w:lang w:val="en-US"/>
        </w:rPr>
        <w:t>Introduction</w:t>
      </w:r>
    </w:p>
    <w:p w:rsidR="000C526A" w:rsidRPr="000C526A" w:rsidRDefault="000C526A">
      <w:pPr>
        <w:pStyle w:val="30"/>
        <w:rPr>
          <w:lang w:val="en-US"/>
        </w:rPr>
      </w:pPr>
      <w:r>
        <w:rPr>
          <w:lang w:val="en-US"/>
        </w:rPr>
        <w:t>The</w:t>
      </w:r>
      <w:r w:rsidRPr="000C526A">
        <w:rPr>
          <w:lang w:val="en-US"/>
        </w:rPr>
        <w:t xml:space="preserve"> </w:t>
      </w:r>
      <w:r>
        <w:rPr>
          <w:lang w:val="en-US"/>
        </w:rPr>
        <w:t>Ukrainian</w:t>
      </w:r>
      <w:r w:rsidRPr="000C526A">
        <w:rPr>
          <w:lang w:val="en-US"/>
        </w:rPr>
        <w:t xml:space="preserve"> </w:t>
      </w:r>
      <w:r>
        <w:rPr>
          <w:lang w:val="en-US"/>
        </w:rPr>
        <w:t>Equities</w:t>
      </w:r>
      <w:r w:rsidRPr="000C526A">
        <w:rPr>
          <w:lang w:val="en-US"/>
        </w:rPr>
        <w:t xml:space="preserve"> </w:t>
      </w:r>
      <w:r>
        <w:rPr>
          <w:lang w:val="en-US"/>
        </w:rPr>
        <w:t>Index</w:t>
      </w:r>
      <w:r w:rsidRPr="000C526A">
        <w:rPr>
          <w:lang w:val="en-US"/>
        </w:rPr>
        <w:t xml:space="preserve"> (</w:t>
      </w:r>
      <w:r>
        <w:rPr>
          <w:lang w:val="en-US"/>
        </w:rPr>
        <w:t>hereinafter</w:t>
      </w:r>
      <w:r w:rsidRPr="000C526A">
        <w:rPr>
          <w:lang w:val="en-US"/>
        </w:rPr>
        <w:t xml:space="preserve"> </w:t>
      </w:r>
      <w:r>
        <w:rPr>
          <w:lang w:val="en-US"/>
        </w:rPr>
        <w:t>referred</w:t>
      </w:r>
      <w:r w:rsidRPr="000C526A">
        <w:rPr>
          <w:lang w:val="en-US"/>
        </w:rPr>
        <w:t xml:space="preserve"> </w:t>
      </w:r>
      <w:r>
        <w:rPr>
          <w:lang w:val="en-US"/>
        </w:rPr>
        <w:t>to</w:t>
      </w:r>
      <w:r w:rsidRPr="000C526A">
        <w:rPr>
          <w:lang w:val="en-US"/>
        </w:rPr>
        <w:t xml:space="preserve"> </w:t>
      </w:r>
      <w:r>
        <w:rPr>
          <w:lang w:val="en-US"/>
        </w:rPr>
        <w:t>as</w:t>
      </w:r>
      <w:r w:rsidRPr="000C526A">
        <w:rPr>
          <w:lang w:val="en-US"/>
        </w:rPr>
        <w:t xml:space="preserve"> </w:t>
      </w:r>
      <w:r>
        <w:rPr>
          <w:lang w:val="en-US"/>
        </w:rPr>
        <w:t>Index</w:t>
      </w:r>
      <w:r w:rsidRPr="000C526A">
        <w:rPr>
          <w:lang w:val="en-US"/>
        </w:rPr>
        <w:t xml:space="preserve">) </w:t>
      </w:r>
      <w:r>
        <w:rPr>
          <w:lang w:val="en-US"/>
        </w:rPr>
        <w:t>is</w:t>
      </w:r>
      <w:r w:rsidRPr="000C526A">
        <w:rPr>
          <w:lang w:val="en-US"/>
        </w:rPr>
        <w:t xml:space="preserve"> </w:t>
      </w:r>
      <w:r>
        <w:rPr>
          <w:lang w:val="en-US"/>
        </w:rPr>
        <w:t>an</w:t>
      </w:r>
      <w:r w:rsidRPr="000C526A">
        <w:rPr>
          <w:lang w:val="en-US"/>
        </w:rPr>
        <w:t xml:space="preserve"> </w:t>
      </w:r>
      <w:r>
        <w:rPr>
          <w:lang w:val="en-US"/>
        </w:rPr>
        <w:t>indicator</w:t>
      </w:r>
      <w:r w:rsidRPr="000C526A">
        <w:rPr>
          <w:lang w:val="en-US"/>
        </w:rPr>
        <w:t xml:space="preserve"> </w:t>
      </w:r>
      <w:r>
        <w:rPr>
          <w:lang w:val="en-US"/>
        </w:rPr>
        <w:t>calculated</w:t>
      </w:r>
      <w:r w:rsidRPr="000C526A">
        <w:rPr>
          <w:lang w:val="en-US"/>
        </w:rPr>
        <w:t xml:space="preserve"> </w:t>
      </w:r>
      <w:r>
        <w:rPr>
          <w:lang w:val="en-US"/>
        </w:rPr>
        <w:t>by</w:t>
      </w:r>
      <w:r w:rsidRPr="000C526A">
        <w:rPr>
          <w:lang w:val="en-US"/>
        </w:rPr>
        <w:t xml:space="preserve"> </w:t>
      </w:r>
      <w:r>
        <w:rPr>
          <w:lang w:val="en-US"/>
        </w:rPr>
        <w:t>the</w:t>
      </w:r>
      <w:r w:rsidRPr="000C526A">
        <w:rPr>
          <w:lang w:val="en-US"/>
        </w:rPr>
        <w:t xml:space="preserve"> </w:t>
      </w:r>
      <w:r>
        <w:rPr>
          <w:lang w:val="en-US"/>
        </w:rPr>
        <w:t>Ukrainian</w:t>
      </w:r>
      <w:r w:rsidRPr="000C526A">
        <w:rPr>
          <w:lang w:val="en-US"/>
        </w:rPr>
        <w:t xml:space="preserve"> </w:t>
      </w:r>
      <w:r>
        <w:rPr>
          <w:lang w:val="en-US"/>
        </w:rPr>
        <w:t>Exchange</w:t>
      </w:r>
      <w:r w:rsidRPr="000C526A">
        <w:rPr>
          <w:lang w:val="en-US"/>
        </w:rPr>
        <w:t xml:space="preserve"> (</w:t>
      </w:r>
      <w:r>
        <w:rPr>
          <w:lang w:val="en-US"/>
        </w:rPr>
        <w:t>hereinafter</w:t>
      </w:r>
      <w:r w:rsidRPr="000C526A">
        <w:rPr>
          <w:lang w:val="en-US"/>
        </w:rPr>
        <w:t xml:space="preserve"> </w:t>
      </w:r>
      <w:r>
        <w:rPr>
          <w:lang w:val="en-US"/>
        </w:rPr>
        <w:t>referred</w:t>
      </w:r>
      <w:r w:rsidRPr="000C526A">
        <w:rPr>
          <w:lang w:val="en-US"/>
        </w:rPr>
        <w:t xml:space="preserve"> </w:t>
      </w:r>
      <w:r>
        <w:rPr>
          <w:lang w:val="en-US"/>
        </w:rPr>
        <w:t>to</w:t>
      </w:r>
      <w:r w:rsidRPr="000C526A">
        <w:rPr>
          <w:lang w:val="en-US"/>
        </w:rPr>
        <w:t xml:space="preserve"> </w:t>
      </w:r>
      <w:r>
        <w:rPr>
          <w:lang w:val="en-US"/>
        </w:rPr>
        <w:t>as</w:t>
      </w:r>
      <w:r w:rsidRPr="000C526A">
        <w:rPr>
          <w:lang w:val="en-US"/>
        </w:rPr>
        <w:t xml:space="preserve"> </w:t>
      </w:r>
      <w:r>
        <w:rPr>
          <w:lang w:val="en-US"/>
        </w:rPr>
        <w:t>the</w:t>
      </w:r>
      <w:r w:rsidRPr="000C526A">
        <w:rPr>
          <w:lang w:val="en-US"/>
        </w:rPr>
        <w:t xml:space="preserve"> </w:t>
      </w:r>
      <w:r>
        <w:rPr>
          <w:lang w:val="en-US"/>
        </w:rPr>
        <w:t>Exchange</w:t>
      </w:r>
      <w:r w:rsidRPr="000C526A">
        <w:rPr>
          <w:lang w:val="en-US"/>
        </w:rPr>
        <w:t xml:space="preserve">). </w:t>
      </w:r>
      <w:r>
        <w:rPr>
          <w:lang w:val="en-US"/>
        </w:rPr>
        <w:t xml:space="preserve">The Index is calculated during the trading session every 15 seconds. The first Index value is considered the opening value, and the last calculated Index </w:t>
      </w:r>
      <w:r w:rsidR="0087704E">
        <w:rPr>
          <w:lang w:val="en-US"/>
        </w:rPr>
        <w:t xml:space="preserve">value is considered the closing value. </w:t>
      </w:r>
    </w:p>
    <w:p w:rsidR="00E967A7" w:rsidRPr="0087704E" w:rsidRDefault="0087704E">
      <w:pPr>
        <w:pStyle w:val="30"/>
        <w:rPr>
          <w:lang w:val="en-US"/>
        </w:rPr>
      </w:pPr>
      <w:r>
        <w:rPr>
          <w:lang w:val="en-US"/>
        </w:rPr>
        <w:t>The full name of the Index in English is</w:t>
      </w:r>
      <w:r w:rsidR="00E967A7" w:rsidRPr="0087704E">
        <w:rPr>
          <w:lang w:val="en-US"/>
        </w:rPr>
        <w:t xml:space="preserve"> </w:t>
      </w:r>
      <w:r w:rsidR="00491333">
        <w:rPr>
          <w:lang w:val="en-US"/>
        </w:rPr>
        <w:t>“</w:t>
      </w:r>
      <w:r w:rsidR="006141A6" w:rsidRPr="001E717D">
        <w:rPr>
          <w:lang w:val="en-US"/>
        </w:rPr>
        <w:t>Ukrainian</w:t>
      </w:r>
      <w:r w:rsidR="006141A6" w:rsidRPr="0087704E">
        <w:rPr>
          <w:lang w:val="en-US"/>
        </w:rPr>
        <w:t xml:space="preserve"> </w:t>
      </w:r>
      <w:r w:rsidR="006141A6" w:rsidRPr="001E717D">
        <w:rPr>
          <w:lang w:val="en-US"/>
        </w:rPr>
        <w:t>Equities</w:t>
      </w:r>
      <w:r w:rsidR="006141A6" w:rsidRPr="0087704E">
        <w:rPr>
          <w:lang w:val="en-US"/>
        </w:rPr>
        <w:t xml:space="preserve"> </w:t>
      </w:r>
      <w:r w:rsidR="006141A6" w:rsidRPr="001E717D">
        <w:rPr>
          <w:lang w:val="en-US"/>
        </w:rPr>
        <w:t>Index</w:t>
      </w:r>
      <w:r w:rsidR="00491333">
        <w:rPr>
          <w:lang w:val="en-US"/>
        </w:rPr>
        <w:t>”</w:t>
      </w:r>
    </w:p>
    <w:p w:rsidR="00E967A7" w:rsidRPr="0087704E" w:rsidRDefault="0087704E">
      <w:pPr>
        <w:pStyle w:val="30"/>
        <w:rPr>
          <w:lang w:val="en-US"/>
        </w:rPr>
      </w:pPr>
      <w:r>
        <w:rPr>
          <w:lang w:val="en-US"/>
        </w:rPr>
        <w:t xml:space="preserve">The short name of the Index </w:t>
      </w:r>
      <w:r w:rsidR="0028294D">
        <w:rPr>
          <w:lang w:val="en-US"/>
        </w:rPr>
        <w:t xml:space="preserve">in English </w:t>
      </w:r>
      <w:r>
        <w:rPr>
          <w:lang w:val="en-US"/>
        </w:rPr>
        <w:t xml:space="preserve">is </w:t>
      </w:r>
      <w:r w:rsidR="00491333">
        <w:rPr>
          <w:lang w:val="en-US"/>
        </w:rPr>
        <w:t>“</w:t>
      </w:r>
      <w:r w:rsidR="0028294D" w:rsidRPr="0087704E">
        <w:rPr>
          <w:lang w:val="en-US"/>
        </w:rPr>
        <w:t>UX</w:t>
      </w:r>
      <w:r w:rsidR="0028294D">
        <w:rPr>
          <w:lang w:val="en-US"/>
        </w:rPr>
        <w:t xml:space="preserve"> Index</w:t>
      </w:r>
      <w:r w:rsidR="00491333">
        <w:rPr>
          <w:lang w:val="en-US"/>
        </w:rPr>
        <w:t>”</w:t>
      </w:r>
      <w:r w:rsidR="00E967A7" w:rsidRPr="0087704E">
        <w:rPr>
          <w:lang w:val="en-US"/>
        </w:rPr>
        <w:t>.</w:t>
      </w:r>
    </w:p>
    <w:p w:rsidR="00E967A7" w:rsidRPr="0028294D" w:rsidRDefault="0028294D">
      <w:pPr>
        <w:pStyle w:val="30"/>
        <w:rPr>
          <w:lang w:val="en-US"/>
        </w:rPr>
      </w:pPr>
      <w:r>
        <w:rPr>
          <w:lang w:val="en-US"/>
        </w:rPr>
        <w:t xml:space="preserve">The Index code in the information system is </w:t>
      </w:r>
      <w:r w:rsidR="00E967A7" w:rsidRPr="0028294D">
        <w:rPr>
          <w:lang w:val="en-US"/>
        </w:rPr>
        <w:t>UX.</w:t>
      </w:r>
    </w:p>
    <w:p w:rsidR="00E967A7" w:rsidRDefault="0028294D">
      <w:pPr>
        <w:keepNext/>
        <w:numPr>
          <w:ilvl w:val="0"/>
          <w:numId w:val="5"/>
        </w:numPr>
        <w:spacing w:before="284" w:after="240"/>
        <w:rPr>
          <w:rFonts w:ascii="Arial" w:hAnsi="Arial" w:cs="Arial"/>
          <w:b/>
          <w:sz w:val="20"/>
        </w:rPr>
      </w:pPr>
      <w:r>
        <w:rPr>
          <w:rFonts w:ascii="Arial" w:hAnsi="Arial" w:cs="Arial"/>
          <w:b/>
          <w:sz w:val="20"/>
          <w:lang w:val="en-US"/>
        </w:rPr>
        <w:t>Procedure for Index calcu</w:t>
      </w:r>
      <w:r w:rsidR="005734A5">
        <w:rPr>
          <w:rFonts w:ascii="Arial" w:hAnsi="Arial" w:cs="Arial"/>
          <w:b/>
          <w:sz w:val="20"/>
          <w:lang w:val="en-US"/>
        </w:rPr>
        <w:t>la</w:t>
      </w:r>
      <w:r>
        <w:rPr>
          <w:rFonts w:ascii="Arial" w:hAnsi="Arial" w:cs="Arial"/>
          <w:b/>
          <w:sz w:val="20"/>
          <w:lang w:val="en-US"/>
        </w:rPr>
        <w:t>tion</w:t>
      </w:r>
    </w:p>
    <w:p w:rsidR="00977B32" w:rsidRDefault="005E09FD" w:rsidP="00977B32">
      <w:pPr>
        <w:pStyle w:val="30"/>
        <w:rPr>
          <w:lang w:val="en-US"/>
        </w:rPr>
      </w:pPr>
      <w:r>
        <w:rPr>
          <w:lang w:val="en-US"/>
        </w:rPr>
        <w:t>The</w:t>
      </w:r>
      <w:r w:rsidRPr="00977B32">
        <w:rPr>
          <w:lang w:val="en-US"/>
        </w:rPr>
        <w:t xml:space="preserve"> </w:t>
      </w:r>
      <w:r>
        <w:rPr>
          <w:lang w:val="en-US"/>
        </w:rPr>
        <w:t>UX</w:t>
      </w:r>
      <w:r w:rsidRPr="00977B32">
        <w:rPr>
          <w:lang w:val="en-US"/>
        </w:rPr>
        <w:t xml:space="preserve"> </w:t>
      </w:r>
      <w:r>
        <w:rPr>
          <w:lang w:val="en-US"/>
        </w:rPr>
        <w:t>Index</w:t>
      </w:r>
      <w:r w:rsidR="00E967A7" w:rsidRPr="00977B32">
        <w:rPr>
          <w:lang w:val="en-US"/>
        </w:rPr>
        <w:t xml:space="preserve"> (</w:t>
      </w:r>
      <w:r w:rsidR="00E967A7" w:rsidRPr="00977B32">
        <w:rPr>
          <w:b/>
          <w:lang w:val="en-US"/>
        </w:rPr>
        <w:t>I</w:t>
      </w:r>
      <w:r w:rsidR="00E967A7" w:rsidRPr="00977B32">
        <w:rPr>
          <w:vertAlign w:val="subscript"/>
          <w:lang w:val="en-US"/>
        </w:rPr>
        <w:t>n</w:t>
      </w:r>
      <w:r w:rsidR="00E967A7" w:rsidRPr="00977B32">
        <w:rPr>
          <w:lang w:val="en-US"/>
        </w:rPr>
        <w:t xml:space="preserve">) </w:t>
      </w:r>
      <w:r w:rsidR="00977B32" w:rsidRPr="00977B32">
        <w:rPr>
          <w:lang w:val="en-US"/>
        </w:rPr>
        <w:t>is computed by dividing the total market capitalization of the Index component</w:t>
      </w:r>
      <w:r w:rsidR="00977B32">
        <w:rPr>
          <w:lang w:val="en-US"/>
        </w:rPr>
        <w:t xml:space="preserve"> securities </w:t>
      </w:r>
      <w:r w:rsidR="00977B32" w:rsidRPr="00977B32">
        <w:rPr>
          <w:lang w:val="en-US"/>
        </w:rPr>
        <w:t>(</w:t>
      </w:r>
      <w:r w:rsidR="00977B32" w:rsidRPr="00977B32">
        <w:rPr>
          <w:b/>
          <w:lang w:val="en-US"/>
        </w:rPr>
        <w:t>MC</w:t>
      </w:r>
      <w:r w:rsidR="00977B32" w:rsidRPr="00977B32">
        <w:rPr>
          <w:b/>
          <w:vertAlign w:val="subscript"/>
          <w:lang w:val="en-US"/>
        </w:rPr>
        <w:t>n</w:t>
      </w:r>
      <w:r w:rsidR="00977B32" w:rsidRPr="00977B32">
        <w:rPr>
          <w:lang w:val="en-US"/>
        </w:rPr>
        <w:t>),</w:t>
      </w:r>
      <w:r w:rsidR="00977B32">
        <w:rPr>
          <w:lang w:val="en-US"/>
        </w:rPr>
        <w:t xml:space="preserve"> employed in the Index calculation (hereinafter the Securities List), by the total market capitalization of the same securities as of the initial date (</w:t>
      </w:r>
      <w:r w:rsidR="00977B32" w:rsidRPr="00977B32">
        <w:rPr>
          <w:b/>
          <w:lang w:val="en-US"/>
        </w:rPr>
        <w:t>MC</w:t>
      </w:r>
      <w:r w:rsidR="00977B32" w:rsidRPr="00977B32">
        <w:rPr>
          <w:b/>
          <w:vertAlign w:val="subscript"/>
          <w:lang w:val="en-US"/>
        </w:rPr>
        <w:t>1</w:t>
      </w:r>
      <w:r w:rsidR="00977B32">
        <w:rPr>
          <w:lang w:val="en-US"/>
        </w:rPr>
        <w:t>) multiplied by the Index value as of the initial date (</w:t>
      </w:r>
      <w:r w:rsidR="00977B32" w:rsidRPr="00977B32">
        <w:rPr>
          <w:b/>
          <w:lang w:val="en-US"/>
        </w:rPr>
        <w:t>I</w:t>
      </w:r>
      <w:r w:rsidR="00977B32" w:rsidRPr="00977B32">
        <w:rPr>
          <w:b/>
          <w:vertAlign w:val="subscript"/>
          <w:lang w:val="en-US"/>
        </w:rPr>
        <w:t>1</w:t>
      </w:r>
      <w:r w:rsidR="00977B32">
        <w:rPr>
          <w:lang w:val="en-US"/>
        </w:rPr>
        <w:t>) and the adjusting coefficient (</w:t>
      </w:r>
      <w:r w:rsidR="00977B32" w:rsidRPr="00977B32">
        <w:rPr>
          <w:b/>
          <w:lang w:val="en-US"/>
        </w:rPr>
        <w:t>Z</w:t>
      </w:r>
      <w:r w:rsidR="00977B32" w:rsidRPr="00977B32">
        <w:rPr>
          <w:vertAlign w:val="subscript"/>
          <w:lang w:val="en-US"/>
        </w:rPr>
        <w:t>n</w:t>
      </w:r>
      <w:r w:rsidR="00977B32">
        <w:rPr>
          <w:lang w:val="en-US"/>
        </w:rPr>
        <w:t>):</w:t>
      </w:r>
    </w:p>
    <w:p w:rsidR="00E967A7" w:rsidRDefault="00E967A7">
      <w:pPr>
        <w:spacing w:before="284"/>
        <w:jc w:val="center"/>
        <w:rPr>
          <w:rFonts w:ascii="Arial" w:hAnsi="Arial" w:cs="Arial"/>
          <w:sz w:val="20"/>
        </w:rPr>
      </w:pPr>
      <w:r w:rsidRPr="00EF30B4">
        <w:rPr>
          <w:rFonts w:ascii="Arial" w:hAnsi="Arial" w:cs="Arial"/>
          <w:position w:val="-30"/>
          <w:sz w:val="20"/>
        </w:rPr>
        <w:object w:dxaOrig="202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40.75pt" o:ole="" fillcolor="window">
            <v:imagedata r:id="rId7" o:title=""/>
          </v:shape>
          <o:OLEObject Type="Embed" ProgID="Equation.3" ShapeID="_x0000_i1025" DrawAspect="Content" ObjectID="_1527600443" r:id="rId8"/>
        </w:object>
      </w:r>
    </w:p>
    <w:p w:rsidR="00E967A7" w:rsidRPr="00977B32" w:rsidRDefault="00E967A7">
      <w:pPr>
        <w:rPr>
          <w:rFonts w:ascii="Arial" w:hAnsi="Arial" w:cs="Arial"/>
          <w:sz w:val="20"/>
          <w:lang w:val="en-US"/>
        </w:rPr>
      </w:pPr>
      <w:r w:rsidRPr="00977B32">
        <w:rPr>
          <w:rFonts w:ascii="Arial" w:hAnsi="Arial" w:cs="Arial"/>
          <w:sz w:val="20"/>
          <w:lang w:val="en-US"/>
        </w:rPr>
        <w:t>MC</w:t>
      </w:r>
      <w:r w:rsidRPr="00977B32">
        <w:rPr>
          <w:rFonts w:ascii="Arial" w:hAnsi="Arial" w:cs="Arial"/>
          <w:sz w:val="20"/>
          <w:vertAlign w:val="subscript"/>
          <w:lang w:val="en-US"/>
        </w:rPr>
        <w:t>n</w:t>
      </w:r>
      <w:r w:rsidRPr="00977B32">
        <w:rPr>
          <w:rFonts w:ascii="Arial" w:hAnsi="Arial" w:cs="Arial"/>
          <w:sz w:val="20"/>
          <w:lang w:val="en-US"/>
        </w:rPr>
        <w:t xml:space="preserve"> - </w:t>
      </w:r>
      <w:r w:rsidR="00977B32" w:rsidRPr="00977B32">
        <w:rPr>
          <w:rFonts w:ascii="Arial" w:hAnsi="Arial" w:cs="Arial"/>
          <w:sz w:val="20"/>
          <w:lang w:val="en-US"/>
        </w:rPr>
        <w:t>total market capitalization as of current date</w:t>
      </w:r>
      <w:r w:rsidR="00977B32">
        <w:rPr>
          <w:rFonts w:ascii="Arial" w:hAnsi="Arial" w:cs="Arial"/>
          <w:sz w:val="20"/>
          <w:lang w:val="en-US"/>
        </w:rPr>
        <w:t xml:space="preserve"> (in hryvnias)</w:t>
      </w:r>
      <w:r w:rsidRPr="00977B32">
        <w:rPr>
          <w:rFonts w:ascii="Arial" w:hAnsi="Arial" w:cs="Arial"/>
          <w:sz w:val="20"/>
          <w:lang w:val="en-US"/>
        </w:rPr>
        <w:t>:</w:t>
      </w:r>
    </w:p>
    <w:p w:rsidR="00E967A7" w:rsidRDefault="00E967A7">
      <w:pPr>
        <w:jc w:val="center"/>
        <w:rPr>
          <w:rFonts w:ascii="Arial" w:hAnsi="Arial" w:cs="Arial"/>
          <w:sz w:val="20"/>
        </w:rPr>
      </w:pPr>
      <w:r w:rsidRPr="00EF30B4">
        <w:rPr>
          <w:rFonts w:ascii="Arial" w:hAnsi="Arial" w:cs="Arial"/>
          <w:position w:val="-28"/>
          <w:sz w:val="20"/>
        </w:rPr>
        <w:object w:dxaOrig="2659" w:dyaOrig="680">
          <v:shape id="_x0000_i1026" type="#_x0000_t75" style="width:133.15pt;height:33.95pt" o:ole="" fillcolor="window">
            <v:imagedata r:id="rId9" o:title=""/>
          </v:shape>
          <o:OLEObject Type="Embed" ProgID="Equation.3" ShapeID="_x0000_i1026" DrawAspect="Content" ObjectID="_1527600444" r:id="rId10"/>
        </w:object>
      </w:r>
    </w:p>
    <w:p w:rsidR="00E967A7" w:rsidRPr="00977B32" w:rsidRDefault="00977B32" w:rsidP="00977B32">
      <w:pPr>
        <w:ind w:left="720" w:hanging="720"/>
        <w:rPr>
          <w:rFonts w:ascii="Arial" w:hAnsi="Arial" w:cs="Arial"/>
          <w:sz w:val="20"/>
          <w:lang w:val="en-US"/>
        </w:rPr>
      </w:pPr>
      <w:r>
        <w:rPr>
          <w:rFonts w:ascii="Arial" w:hAnsi="Arial" w:cs="Arial"/>
          <w:sz w:val="20"/>
          <w:lang w:val="en-US"/>
        </w:rPr>
        <w:t xml:space="preserve">where </w:t>
      </w:r>
      <w:r w:rsidR="00E967A7" w:rsidRPr="00CE696B">
        <w:rPr>
          <w:rFonts w:ascii="Arial" w:hAnsi="Arial" w:cs="Arial"/>
          <w:sz w:val="20"/>
          <w:lang w:val="en-US"/>
        </w:rPr>
        <w:tab/>
      </w:r>
      <w:r w:rsidR="00E967A7">
        <w:rPr>
          <w:rFonts w:ascii="Arial" w:hAnsi="Arial" w:cs="Arial"/>
          <w:b/>
          <w:sz w:val="20"/>
          <w:lang w:val="en-US"/>
        </w:rPr>
        <w:t>W</w:t>
      </w:r>
      <w:r w:rsidR="00E967A7" w:rsidRPr="00CE696B">
        <w:rPr>
          <w:rFonts w:ascii="Arial" w:hAnsi="Arial" w:cs="Arial"/>
          <w:b/>
          <w:sz w:val="20"/>
          <w:vertAlign w:val="subscript"/>
          <w:lang w:val="en-US"/>
        </w:rPr>
        <w:t xml:space="preserve">i </w:t>
      </w:r>
      <w:r w:rsidR="00E967A7" w:rsidRPr="00CE696B">
        <w:rPr>
          <w:rFonts w:ascii="Arial" w:hAnsi="Arial" w:cs="Arial"/>
          <w:sz w:val="20"/>
          <w:lang w:val="en-US"/>
        </w:rPr>
        <w:t xml:space="preserve">– </w:t>
      </w:r>
      <w:r w:rsidRPr="00977B32">
        <w:rPr>
          <w:rFonts w:ascii="Arial" w:hAnsi="Arial" w:cs="Arial"/>
          <w:sz w:val="20"/>
          <w:lang w:val="en-US"/>
        </w:rPr>
        <w:t>adjusting coefficient reflecting the number of outstanding i-th shares (free-float coefficient);</w:t>
      </w:r>
      <w:r w:rsidR="00E967A7" w:rsidRPr="00CE696B">
        <w:rPr>
          <w:rFonts w:ascii="Arial" w:hAnsi="Arial" w:cs="Arial"/>
          <w:sz w:val="20"/>
          <w:lang w:val="en-US"/>
        </w:rPr>
        <w:br/>
      </w:r>
      <w:r w:rsidR="00E967A7">
        <w:rPr>
          <w:rFonts w:ascii="Arial" w:hAnsi="Arial" w:cs="Arial"/>
          <w:b/>
          <w:iCs/>
          <w:sz w:val="20"/>
        </w:rPr>
        <w:t>С</w:t>
      </w:r>
      <w:r w:rsidR="00E967A7">
        <w:rPr>
          <w:rFonts w:ascii="Arial" w:hAnsi="Arial" w:cs="Arial"/>
          <w:b/>
          <w:iCs/>
          <w:sz w:val="20"/>
          <w:vertAlign w:val="subscript"/>
          <w:lang w:val="en-US"/>
        </w:rPr>
        <w:t>i</w:t>
      </w:r>
      <w:r w:rsidR="00E967A7" w:rsidRPr="00CE696B">
        <w:rPr>
          <w:rFonts w:ascii="Arial" w:hAnsi="Arial" w:cs="Arial"/>
          <w:i/>
          <w:sz w:val="20"/>
          <w:lang w:val="en-US"/>
        </w:rPr>
        <w:t xml:space="preserve"> –</w:t>
      </w:r>
      <w:r w:rsidR="00E967A7" w:rsidRPr="00CE696B">
        <w:rPr>
          <w:rFonts w:ascii="Arial" w:hAnsi="Arial" w:cs="Arial"/>
          <w:sz w:val="20"/>
          <w:lang w:val="en-US"/>
        </w:rPr>
        <w:t xml:space="preserve"> </w:t>
      </w:r>
      <w:r w:rsidRPr="00977B32">
        <w:rPr>
          <w:rFonts w:ascii="Arial" w:hAnsi="Arial" w:cs="Arial"/>
          <w:sz w:val="20"/>
          <w:lang w:val="en-US"/>
        </w:rPr>
        <w:t>the coefficient restricting the share of the i-th share in total market capitalization (weighting coefficient);</w:t>
      </w:r>
      <w:r w:rsidR="00E967A7" w:rsidRPr="00977B32">
        <w:rPr>
          <w:rFonts w:ascii="Arial" w:hAnsi="Arial" w:cs="Arial"/>
          <w:sz w:val="20"/>
          <w:lang w:val="en-US"/>
        </w:rPr>
        <w:br/>
      </w:r>
      <w:r w:rsidR="00E967A7" w:rsidRPr="00CE696B">
        <w:rPr>
          <w:rFonts w:ascii="Arial" w:hAnsi="Arial" w:cs="Arial"/>
          <w:b/>
          <w:sz w:val="20"/>
          <w:lang w:val="en-US"/>
        </w:rPr>
        <w:t>Q</w:t>
      </w:r>
      <w:r w:rsidR="00E967A7" w:rsidRPr="00CE696B">
        <w:rPr>
          <w:rFonts w:ascii="Arial" w:hAnsi="Arial" w:cs="Arial"/>
          <w:b/>
          <w:sz w:val="20"/>
          <w:vertAlign w:val="subscript"/>
          <w:lang w:val="en-US"/>
        </w:rPr>
        <w:t>i</w:t>
      </w:r>
      <w:r w:rsidR="00E967A7" w:rsidRPr="00CE696B">
        <w:rPr>
          <w:rFonts w:ascii="Arial" w:hAnsi="Arial" w:cs="Arial"/>
          <w:sz w:val="20"/>
          <w:lang w:val="en-US"/>
        </w:rPr>
        <w:t xml:space="preserve"> - </w:t>
      </w:r>
      <w:r w:rsidRPr="00977B32">
        <w:rPr>
          <w:rFonts w:ascii="Arial" w:hAnsi="Arial" w:cs="Arial"/>
          <w:sz w:val="20"/>
          <w:lang w:val="en-US"/>
        </w:rPr>
        <w:t>the total number of i-th shares;</w:t>
      </w:r>
      <w:r w:rsidR="00E967A7" w:rsidRPr="00CE696B">
        <w:rPr>
          <w:rFonts w:ascii="Arial" w:hAnsi="Arial" w:cs="Arial"/>
          <w:sz w:val="20"/>
          <w:lang w:val="en-US"/>
        </w:rPr>
        <w:br/>
      </w:r>
      <w:r w:rsidR="00E967A7">
        <w:rPr>
          <w:rFonts w:ascii="Arial" w:hAnsi="Arial" w:cs="Arial"/>
          <w:b/>
          <w:sz w:val="20"/>
          <w:lang w:val="en-US"/>
        </w:rPr>
        <w:t>P</w:t>
      </w:r>
      <w:r w:rsidR="00E967A7" w:rsidRPr="00CE696B">
        <w:rPr>
          <w:rFonts w:ascii="Arial" w:hAnsi="Arial" w:cs="Arial"/>
          <w:b/>
          <w:sz w:val="20"/>
          <w:vertAlign w:val="subscript"/>
          <w:lang w:val="en-US"/>
        </w:rPr>
        <w:t xml:space="preserve">i </w:t>
      </w:r>
      <w:r w:rsidR="00E967A7" w:rsidRPr="00CE696B">
        <w:rPr>
          <w:rFonts w:ascii="Arial" w:hAnsi="Arial" w:cs="Arial"/>
          <w:sz w:val="20"/>
          <w:lang w:val="en-US"/>
        </w:rPr>
        <w:t xml:space="preserve">- </w:t>
      </w:r>
      <w:r w:rsidRPr="00977B32">
        <w:rPr>
          <w:rFonts w:ascii="Arial" w:hAnsi="Arial" w:cs="Arial"/>
          <w:sz w:val="20"/>
          <w:lang w:val="en-US"/>
        </w:rPr>
        <w:t xml:space="preserve">price of the i-th security in hryvnias as of settlement time </w:t>
      </w:r>
      <w:r>
        <w:rPr>
          <w:rFonts w:ascii="Arial" w:hAnsi="Arial" w:cs="Arial"/>
          <w:sz w:val="20"/>
          <w:lang w:val="en-US"/>
        </w:rPr>
        <w:t>n</w:t>
      </w:r>
      <w:r w:rsidRPr="00977B32">
        <w:rPr>
          <w:rFonts w:ascii="Arial" w:hAnsi="Arial" w:cs="Arial"/>
          <w:sz w:val="20"/>
          <w:lang w:val="en-US"/>
        </w:rPr>
        <w:t>;</w:t>
      </w:r>
      <w:r w:rsidR="00E967A7" w:rsidRPr="00CE696B">
        <w:rPr>
          <w:rFonts w:ascii="Arial" w:hAnsi="Arial" w:cs="Arial"/>
          <w:sz w:val="20"/>
          <w:lang w:val="en-US"/>
        </w:rPr>
        <w:br/>
      </w:r>
      <w:r w:rsidR="00E967A7" w:rsidRPr="00CE696B">
        <w:rPr>
          <w:rFonts w:ascii="Arial" w:hAnsi="Arial" w:cs="Arial"/>
          <w:b/>
          <w:sz w:val="20"/>
          <w:lang w:val="en-US"/>
        </w:rPr>
        <w:t>N</w:t>
      </w:r>
      <w:r w:rsidR="00E967A7" w:rsidRPr="00CE696B">
        <w:rPr>
          <w:rFonts w:ascii="Arial" w:hAnsi="Arial" w:cs="Arial"/>
          <w:sz w:val="20"/>
          <w:lang w:val="en-US"/>
        </w:rPr>
        <w:t xml:space="preserve"> - </w:t>
      </w:r>
      <w:r w:rsidRPr="00977B32">
        <w:rPr>
          <w:rFonts w:ascii="Arial" w:hAnsi="Arial" w:cs="Arial"/>
          <w:sz w:val="20"/>
          <w:lang w:val="en-US"/>
        </w:rPr>
        <w:t>the number of shares on the Securities List.</w:t>
      </w:r>
    </w:p>
    <w:p w:rsidR="00E967A7" w:rsidRPr="00CE696B" w:rsidRDefault="00E967A7">
      <w:pPr>
        <w:rPr>
          <w:rFonts w:ascii="Arial" w:hAnsi="Arial" w:cs="Arial"/>
          <w:sz w:val="20"/>
          <w:lang w:val="en-US"/>
        </w:rPr>
      </w:pPr>
    </w:p>
    <w:p w:rsidR="00E967A7" w:rsidRDefault="005127BF">
      <w:pPr>
        <w:keepNext/>
        <w:numPr>
          <w:ilvl w:val="0"/>
          <w:numId w:val="5"/>
        </w:numPr>
        <w:spacing w:before="284" w:after="240"/>
        <w:rPr>
          <w:rFonts w:ascii="Arial" w:hAnsi="Arial" w:cs="Arial"/>
          <w:b/>
          <w:sz w:val="20"/>
        </w:rPr>
      </w:pPr>
      <w:r>
        <w:rPr>
          <w:rFonts w:ascii="Arial" w:hAnsi="Arial" w:cs="Arial"/>
          <w:b/>
          <w:sz w:val="20"/>
          <w:lang w:val="en-US"/>
        </w:rPr>
        <w:t>Initial values</w:t>
      </w:r>
      <w:r w:rsidR="00E967A7">
        <w:rPr>
          <w:rFonts w:ascii="Arial" w:hAnsi="Arial" w:cs="Arial"/>
          <w:b/>
          <w:sz w:val="20"/>
        </w:rPr>
        <w:t>:</w:t>
      </w:r>
    </w:p>
    <w:p w:rsidR="00E967A7" w:rsidRDefault="00E967A7">
      <w:pPr>
        <w:spacing w:before="120"/>
        <w:rPr>
          <w:rFonts w:ascii="Arial" w:hAnsi="Arial" w:cs="Arial"/>
          <w:sz w:val="20"/>
        </w:rPr>
      </w:pPr>
      <w:r>
        <w:rPr>
          <w:rFonts w:ascii="Arial" w:hAnsi="Arial" w:cs="Arial"/>
          <w:b/>
          <w:sz w:val="20"/>
          <w:lang w:val="en-US"/>
        </w:rPr>
        <w:t>I</w:t>
      </w:r>
      <w:r>
        <w:rPr>
          <w:rFonts w:ascii="Arial" w:hAnsi="Arial" w:cs="Arial"/>
          <w:b/>
          <w:sz w:val="20"/>
          <w:vertAlign w:val="subscript"/>
        </w:rPr>
        <w:t>1</w:t>
      </w:r>
      <w:r>
        <w:rPr>
          <w:rFonts w:ascii="Arial" w:hAnsi="Arial" w:cs="Arial"/>
          <w:sz w:val="20"/>
        </w:rPr>
        <w:t xml:space="preserve"> = </w:t>
      </w:r>
      <w:r w:rsidR="0064092D" w:rsidRPr="0064092D">
        <w:rPr>
          <w:rFonts w:ascii="Arial" w:hAnsi="Arial" w:cs="Arial"/>
          <w:sz w:val="20"/>
        </w:rPr>
        <w:t>500</w:t>
      </w:r>
      <w:r>
        <w:rPr>
          <w:rFonts w:ascii="Arial" w:hAnsi="Arial" w:cs="Arial"/>
          <w:sz w:val="20"/>
        </w:rPr>
        <w:t xml:space="preserve"> </w:t>
      </w:r>
      <w:r w:rsidR="00DA7A2D">
        <w:rPr>
          <w:rFonts w:ascii="Arial" w:hAnsi="Arial" w:cs="Arial"/>
          <w:sz w:val="20"/>
          <w:lang w:val="en-US"/>
        </w:rPr>
        <w:t>as of March</w:t>
      </w:r>
      <w:r>
        <w:rPr>
          <w:rFonts w:ascii="Arial" w:hAnsi="Arial" w:cs="Arial"/>
          <w:sz w:val="20"/>
        </w:rPr>
        <w:t xml:space="preserve"> 2</w:t>
      </w:r>
      <w:r w:rsidR="00BB12E5" w:rsidRPr="00BB12E5">
        <w:rPr>
          <w:rFonts w:ascii="Arial" w:hAnsi="Arial" w:cs="Arial"/>
          <w:sz w:val="20"/>
        </w:rPr>
        <w:t>6</w:t>
      </w:r>
      <w:r w:rsidR="00DA7A2D">
        <w:rPr>
          <w:rFonts w:ascii="Arial" w:hAnsi="Arial" w:cs="Arial"/>
          <w:sz w:val="20"/>
          <w:lang w:val="en-US"/>
        </w:rPr>
        <w:t>,</w:t>
      </w:r>
      <w:r w:rsidR="00BB12E5">
        <w:rPr>
          <w:rFonts w:ascii="Arial" w:hAnsi="Arial" w:cs="Arial"/>
          <w:sz w:val="20"/>
        </w:rPr>
        <w:t xml:space="preserve"> </w:t>
      </w:r>
      <w:r>
        <w:rPr>
          <w:rFonts w:ascii="Arial" w:hAnsi="Arial" w:cs="Arial"/>
          <w:sz w:val="20"/>
        </w:rPr>
        <w:t>2009,</w:t>
      </w:r>
    </w:p>
    <w:p w:rsidR="00E967A7" w:rsidRPr="00BB12E5" w:rsidRDefault="00E967A7">
      <w:pPr>
        <w:rPr>
          <w:rFonts w:ascii="Arial" w:hAnsi="Arial" w:cs="Arial"/>
          <w:sz w:val="20"/>
          <w:lang w:val="en-US"/>
        </w:rPr>
      </w:pPr>
      <w:r>
        <w:rPr>
          <w:rFonts w:ascii="Arial" w:hAnsi="Arial" w:cs="Arial"/>
          <w:b/>
          <w:sz w:val="20"/>
          <w:lang w:val="en-US"/>
        </w:rPr>
        <w:t>MC</w:t>
      </w:r>
      <w:r>
        <w:rPr>
          <w:rFonts w:ascii="Arial" w:hAnsi="Arial" w:cs="Arial"/>
          <w:b/>
          <w:sz w:val="20"/>
          <w:vertAlign w:val="subscript"/>
          <w:lang w:val="en-US"/>
        </w:rPr>
        <w:t>1</w:t>
      </w:r>
      <w:r>
        <w:rPr>
          <w:rFonts w:ascii="Arial" w:hAnsi="Arial" w:cs="Arial"/>
          <w:sz w:val="20"/>
          <w:lang w:val="en-US"/>
        </w:rPr>
        <w:t xml:space="preserve"> = </w:t>
      </w:r>
      <w:r w:rsidR="00BB12E5" w:rsidRPr="00BB12E5">
        <w:rPr>
          <w:rFonts w:ascii="Arial" w:hAnsi="Arial" w:cs="Arial"/>
          <w:sz w:val="20"/>
          <w:lang w:val="en-US"/>
        </w:rPr>
        <w:t>1243418850</w:t>
      </w:r>
    </w:p>
    <w:p w:rsidR="00E967A7" w:rsidRDefault="00E967A7">
      <w:pPr>
        <w:ind w:left="567" w:hanging="567"/>
        <w:rPr>
          <w:rFonts w:ascii="Arial" w:hAnsi="Arial" w:cs="Arial"/>
          <w:iCs/>
          <w:sz w:val="20"/>
          <w:lang w:val="en-US"/>
        </w:rPr>
      </w:pPr>
      <w:r>
        <w:rPr>
          <w:rFonts w:ascii="Arial" w:hAnsi="Arial" w:cs="Arial"/>
          <w:b/>
          <w:bCs/>
          <w:sz w:val="20"/>
          <w:lang w:val="en-US"/>
        </w:rPr>
        <w:t>Z</w:t>
      </w:r>
      <w:r>
        <w:rPr>
          <w:rFonts w:ascii="Arial" w:hAnsi="Arial" w:cs="Arial"/>
          <w:b/>
          <w:bCs/>
          <w:sz w:val="20"/>
          <w:vertAlign w:val="subscript"/>
          <w:lang w:val="en-US"/>
        </w:rPr>
        <w:t>1</w:t>
      </w:r>
      <w:r>
        <w:rPr>
          <w:rFonts w:ascii="Arial" w:hAnsi="Arial" w:cs="Arial"/>
          <w:iCs/>
          <w:sz w:val="20"/>
          <w:lang w:val="en-US"/>
        </w:rPr>
        <w:t xml:space="preserve"> = 1</w:t>
      </w:r>
    </w:p>
    <w:p w:rsidR="00E967A7" w:rsidRDefault="00E967A7">
      <w:pPr>
        <w:ind w:left="567" w:hanging="567"/>
        <w:rPr>
          <w:rFonts w:ascii="Arial" w:hAnsi="Arial" w:cs="Arial"/>
          <w:iCs/>
          <w:sz w:val="20"/>
        </w:rPr>
      </w:pPr>
    </w:p>
    <w:p w:rsidR="00E967A7" w:rsidRDefault="00DA7A2D">
      <w:pPr>
        <w:keepNext/>
        <w:numPr>
          <w:ilvl w:val="0"/>
          <w:numId w:val="5"/>
        </w:numPr>
        <w:spacing w:before="284" w:after="240"/>
        <w:rPr>
          <w:rFonts w:ascii="Arial" w:hAnsi="Arial" w:cs="Arial"/>
          <w:b/>
          <w:sz w:val="20"/>
        </w:rPr>
      </w:pPr>
      <w:r>
        <w:rPr>
          <w:rFonts w:ascii="Arial" w:hAnsi="Arial" w:cs="Arial"/>
          <w:b/>
          <w:sz w:val="20"/>
          <w:lang w:val="en-US"/>
        </w:rPr>
        <w:t>Calculation of weighting coefficients</w:t>
      </w:r>
    </w:p>
    <w:p w:rsidR="00DA7A2D" w:rsidRDefault="00DA7A2D">
      <w:pPr>
        <w:ind w:firstLine="708"/>
        <w:jc w:val="both"/>
        <w:rPr>
          <w:rFonts w:ascii="Arial" w:hAnsi="Arial" w:cs="Arial"/>
          <w:sz w:val="20"/>
          <w:lang w:val="en-US"/>
        </w:rPr>
      </w:pPr>
      <w:r w:rsidRPr="00DA7A2D">
        <w:rPr>
          <w:rFonts w:ascii="Arial" w:hAnsi="Arial" w:cs="Arial"/>
          <w:sz w:val="20"/>
          <w:lang w:val="en-US"/>
        </w:rPr>
        <w:t>The share of the securities value (hereinafter referred to as “Specific weight”) for each security from the Securities list in the total value of the given securities is calculated by the formula</w:t>
      </w:r>
      <w:r>
        <w:rPr>
          <w:rFonts w:ascii="Arial" w:hAnsi="Arial" w:cs="Arial"/>
          <w:sz w:val="20"/>
          <w:lang w:val="en-US"/>
        </w:rPr>
        <w:t>:</w:t>
      </w:r>
      <w:r w:rsidRPr="00DA7A2D">
        <w:rPr>
          <w:rFonts w:ascii="Arial" w:hAnsi="Arial" w:cs="Arial"/>
          <w:sz w:val="20"/>
          <w:lang w:val="en-US"/>
        </w:rPr>
        <w:t xml:space="preserve"> </w:t>
      </w:r>
    </w:p>
    <w:p w:rsidR="00E967A7" w:rsidRPr="00CE696B" w:rsidRDefault="00E967A7">
      <w:pPr>
        <w:ind w:firstLine="708"/>
        <w:jc w:val="both"/>
        <w:rPr>
          <w:rFonts w:ascii="Arial" w:hAnsi="Arial" w:cs="Arial"/>
          <w:sz w:val="20"/>
          <w:lang w:val="en-US"/>
        </w:rPr>
      </w:pPr>
    </w:p>
    <w:p w:rsidR="00E967A7" w:rsidRDefault="00E967A7">
      <w:pPr>
        <w:ind w:firstLine="708"/>
        <w:jc w:val="center"/>
        <w:rPr>
          <w:rFonts w:ascii="Arial" w:hAnsi="Arial" w:cs="Arial"/>
          <w:sz w:val="20"/>
        </w:rPr>
      </w:pPr>
      <w:r w:rsidRPr="00EF30B4">
        <w:rPr>
          <w:position w:val="-60"/>
          <w:sz w:val="20"/>
        </w:rPr>
        <w:object w:dxaOrig="2880" w:dyaOrig="999">
          <v:shape id="_x0000_i1027" type="#_x0000_t75" style="width:2in;height:50.25pt" o:ole="" fillcolor="window">
            <v:imagedata r:id="rId11" o:title=""/>
          </v:shape>
          <o:OLEObject Type="Embed" ProgID="Equation.3" ShapeID="_x0000_i1027" DrawAspect="Content" ObjectID="_1527600445" r:id="rId12"/>
        </w:object>
      </w:r>
    </w:p>
    <w:p w:rsidR="00DA7A2D" w:rsidRDefault="00DA7A2D" w:rsidP="00DA7A2D">
      <w:pPr>
        <w:pStyle w:val="txt"/>
        <w:spacing w:before="120" w:beforeAutospacing="0" w:after="0" w:afterAutospacing="0"/>
        <w:ind w:firstLine="360"/>
        <w:jc w:val="both"/>
        <w:rPr>
          <w:color w:val="auto"/>
          <w:sz w:val="20"/>
          <w:szCs w:val="20"/>
          <w:lang w:val="en-US"/>
        </w:rPr>
      </w:pPr>
      <w:r>
        <w:rPr>
          <w:color w:val="auto"/>
          <w:sz w:val="20"/>
          <w:szCs w:val="20"/>
          <w:lang w:val="en-US"/>
        </w:rPr>
        <w:lastRenderedPageBreak/>
        <w:t xml:space="preserve">Specific weight of the securities of one issuer is calculated as a sum of specific weights of the securities of all categories of this issuer from the Securities list. </w:t>
      </w:r>
    </w:p>
    <w:p w:rsidR="00DA7A2D" w:rsidRPr="00DA7A2D" w:rsidRDefault="00DA7A2D">
      <w:pPr>
        <w:ind w:firstLine="708"/>
        <w:jc w:val="both"/>
        <w:rPr>
          <w:rFonts w:ascii="Arial" w:hAnsi="Arial" w:cs="Arial"/>
          <w:sz w:val="20"/>
          <w:lang w:val="en-US"/>
        </w:rPr>
      </w:pPr>
      <w:r w:rsidRPr="00DA7A2D">
        <w:rPr>
          <w:rFonts w:ascii="Arial" w:hAnsi="Arial" w:cs="Arial"/>
          <w:sz w:val="20"/>
          <w:lang w:val="en-US"/>
        </w:rPr>
        <w:t xml:space="preserve">In order to restrict the degree of influence of certain individual securities on Index value, according to the methodology of Index calculation – the specific weight of each constituent of the Index in total market capitalization should not exceed </w:t>
      </w:r>
      <w:r w:rsidR="00CE696B">
        <w:rPr>
          <w:rFonts w:ascii="Arial" w:hAnsi="Arial" w:cs="Arial"/>
          <w:sz w:val="20"/>
          <w:lang w:val="en-US"/>
        </w:rPr>
        <w:t>2</w:t>
      </w:r>
      <w:r w:rsidRPr="00DA7A2D">
        <w:rPr>
          <w:rFonts w:ascii="Arial" w:hAnsi="Arial" w:cs="Arial"/>
          <w:sz w:val="20"/>
          <w:lang w:val="en-US"/>
        </w:rPr>
        <w:t xml:space="preserve">5% ( </w:t>
      </w:r>
      <w:r w:rsidRPr="00DA7A2D">
        <w:rPr>
          <w:rFonts w:ascii="Arial" w:hAnsi="Arial" w:cs="Arial"/>
          <w:b/>
          <w:bCs/>
          <w:sz w:val="20"/>
          <w:lang w:val="en-US"/>
        </w:rPr>
        <w:t>S=</w:t>
      </w:r>
      <w:r w:rsidR="00F35740">
        <w:rPr>
          <w:rFonts w:ascii="Arial" w:hAnsi="Arial" w:cs="Arial"/>
          <w:b/>
          <w:bCs/>
          <w:sz w:val="20"/>
          <w:lang w:val="en-US"/>
        </w:rPr>
        <w:t>2</w:t>
      </w:r>
      <w:r w:rsidRPr="00DA7A2D">
        <w:rPr>
          <w:rFonts w:ascii="Arial" w:hAnsi="Arial" w:cs="Arial"/>
          <w:b/>
          <w:bCs/>
          <w:sz w:val="20"/>
          <w:lang w:val="en-US"/>
        </w:rPr>
        <w:t>5%</w:t>
      </w:r>
      <w:r w:rsidRPr="00DA7A2D">
        <w:rPr>
          <w:rFonts w:ascii="Arial" w:hAnsi="Arial" w:cs="Arial"/>
          <w:b/>
          <w:bCs/>
          <w:i/>
          <w:iCs/>
          <w:sz w:val="20"/>
          <w:lang w:val="en-US"/>
        </w:rPr>
        <w:t xml:space="preserve"> </w:t>
      </w:r>
      <w:r w:rsidRPr="00DA7A2D">
        <w:rPr>
          <w:rFonts w:ascii="Arial" w:hAnsi="Arial" w:cs="Arial"/>
          <w:sz w:val="20"/>
          <w:lang w:val="en-US"/>
        </w:rPr>
        <w:t>) as of the day of comprising the Securities list.</w:t>
      </w:r>
    </w:p>
    <w:p w:rsidR="00DA7A2D" w:rsidRPr="00DA7A2D" w:rsidRDefault="00DA7A2D" w:rsidP="00DA7A2D">
      <w:pPr>
        <w:ind w:firstLine="708"/>
        <w:jc w:val="both"/>
        <w:rPr>
          <w:rFonts w:ascii="Arial" w:hAnsi="Arial" w:cs="Arial"/>
          <w:sz w:val="20"/>
          <w:lang w:val="en-US"/>
        </w:rPr>
      </w:pPr>
      <w:r w:rsidRPr="00DA7A2D">
        <w:rPr>
          <w:rFonts w:ascii="Arial" w:hAnsi="Arial" w:cs="Arial"/>
          <w:sz w:val="20"/>
          <w:lang w:val="en-US"/>
        </w:rPr>
        <w:t>Coefficients</w:t>
      </w:r>
      <w:r w:rsidRPr="00DA7A2D">
        <w:rPr>
          <w:rFonts w:ascii="Arial" w:hAnsi="Arial" w:cs="Arial"/>
          <w:b/>
          <w:i/>
          <w:sz w:val="20"/>
          <w:lang w:val="en-US"/>
        </w:rPr>
        <w:t xml:space="preserve"> </w:t>
      </w:r>
      <w:r w:rsidRPr="00DA7A2D">
        <w:rPr>
          <w:rFonts w:ascii="Arial" w:hAnsi="Arial" w:cs="Arial"/>
          <w:b/>
          <w:i/>
          <w:sz w:val="20"/>
        </w:rPr>
        <w:t>С</w:t>
      </w:r>
      <w:r w:rsidRPr="00DA7A2D">
        <w:rPr>
          <w:rFonts w:ascii="Arial" w:hAnsi="Arial" w:cs="Arial"/>
          <w:b/>
          <w:i/>
          <w:sz w:val="20"/>
          <w:vertAlign w:val="subscript"/>
          <w:lang w:val="en-US"/>
        </w:rPr>
        <w:t>i</w:t>
      </w:r>
      <w:r w:rsidRPr="00DA7A2D">
        <w:rPr>
          <w:rFonts w:ascii="Arial" w:hAnsi="Arial" w:cs="Arial"/>
          <w:sz w:val="20"/>
          <w:lang w:val="en-US"/>
        </w:rPr>
        <w:t xml:space="preserve"> are used to enforce these rules.</w:t>
      </w:r>
    </w:p>
    <w:p w:rsidR="00DA7A2D" w:rsidRPr="00DA7A2D" w:rsidRDefault="00DA7A2D" w:rsidP="00DA7A2D">
      <w:pPr>
        <w:ind w:firstLine="708"/>
        <w:jc w:val="both"/>
        <w:rPr>
          <w:rFonts w:ascii="Arial" w:hAnsi="Arial" w:cs="Arial"/>
          <w:sz w:val="20"/>
          <w:lang w:val="en-US"/>
        </w:rPr>
      </w:pPr>
      <w:r w:rsidRPr="00DA7A2D">
        <w:rPr>
          <w:rFonts w:ascii="Arial" w:hAnsi="Arial" w:cs="Arial"/>
          <w:sz w:val="20"/>
          <w:lang w:val="en-US"/>
        </w:rPr>
        <w:t>Coefficients (</w:t>
      </w:r>
      <w:r w:rsidRPr="00DA7A2D">
        <w:rPr>
          <w:rFonts w:ascii="Arial" w:hAnsi="Arial" w:cs="Arial"/>
          <w:b/>
          <w:bCs/>
          <w:i/>
          <w:iCs/>
          <w:sz w:val="20"/>
        </w:rPr>
        <w:t>С</w:t>
      </w:r>
      <w:r w:rsidRPr="00DA7A2D">
        <w:rPr>
          <w:rFonts w:ascii="Arial" w:hAnsi="Arial" w:cs="Arial"/>
          <w:b/>
          <w:bCs/>
          <w:i/>
          <w:iCs/>
          <w:sz w:val="20"/>
          <w:vertAlign w:val="subscript"/>
          <w:lang w:val="en-US"/>
        </w:rPr>
        <w:t>i</w:t>
      </w:r>
      <w:r w:rsidRPr="00DA7A2D">
        <w:rPr>
          <w:rFonts w:ascii="Arial" w:hAnsi="Arial" w:cs="Arial"/>
          <w:sz w:val="20"/>
          <w:lang w:val="en-US"/>
        </w:rPr>
        <w:t>) are updated based on the following procedure. Let us assume that on the n-th day the following coefficients are applied (</w:t>
      </w:r>
      <w:r w:rsidRPr="00DA7A2D">
        <w:rPr>
          <w:rFonts w:ascii="Arial" w:hAnsi="Arial" w:cs="Arial"/>
          <w:b/>
          <w:bCs/>
          <w:i/>
          <w:iCs/>
          <w:sz w:val="20"/>
        </w:rPr>
        <w:t>С</w:t>
      </w:r>
      <w:r w:rsidRPr="00DA7A2D">
        <w:rPr>
          <w:rFonts w:ascii="Arial" w:hAnsi="Arial" w:cs="Arial"/>
          <w:b/>
          <w:bCs/>
          <w:i/>
          <w:iCs/>
          <w:sz w:val="20"/>
          <w:vertAlign w:val="subscript"/>
          <w:lang w:val="en-US"/>
        </w:rPr>
        <w:t>n,i</w:t>
      </w:r>
      <w:r w:rsidRPr="00DA7A2D">
        <w:rPr>
          <w:rFonts w:ascii="Arial" w:hAnsi="Arial" w:cs="Arial"/>
          <w:sz w:val="20"/>
          <w:lang w:val="en-US"/>
        </w:rPr>
        <w:t>), while on the day n+1 – new coefficients (</w:t>
      </w:r>
      <w:r w:rsidRPr="00DA7A2D">
        <w:rPr>
          <w:rFonts w:ascii="Arial" w:hAnsi="Arial" w:cs="Arial"/>
          <w:b/>
          <w:bCs/>
          <w:i/>
          <w:iCs/>
          <w:sz w:val="20"/>
        </w:rPr>
        <w:t>С</w:t>
      </w:r>
      <w:r w:rsidRPr="00DA7A2D">
        <w:rPr>
          <w:rFonts w:ascii="Arial" w:hAnsi="Arial" w:cs="Arial"/>
          <w:b/>
          <w:bCs/>
          <w:i/>
          <w:iCs/>
          <w:sz w:val="20"/>
          <w:vertAlign w:val="subscript"/>
          <w:lang w:val="en-US"/>
        </w:rPr>
        <w:t>n+1,,i</w:t>
      </w:r>
      <w:r w:rsidRPr="00DA7A2D">
        <w:rPr>
          <w:rFonts w:ascii="Arial" w:hAnsi="Arial" w:cs="Arial"/>
          <w:sz w:val="20"/>
          <w:lang w:val="en-US"/>
        </w:rPr>
        <w:t>) are introduced. New coefficients are calculated based on the results of the n-th trading session using the following iterative procedure:</w:t>
      </w:r>
    </w:p>
    <w:p w:rsidR="00DA7A2D" w:rsidRPr="00DA7A2D" w:rsidRDefault="00DA7A2D">
      <w:pPr>
        <w:ind w:firstLine="708"/>
        <w:jc w:val="both"/>
        <w:rPr>
          <w:rFonts w:ascii="Arial" w:hAnsi="Arial" w:cs="Arial"/>
          <w:sz w:val="20"/>
          <w:lang w:val="en-US"/>
        </w:rPr>
      </w:pPr>
    </w:p>
    <w:p w:rsidR="00E967A7" w:rsidRPr="00DA7A2D" w:rsidRDefault="00E967A7">
      <w:pPr>
        <w:ind w:firstLine="708"/>
        <w:jc w:val="both"/>
        <w:rPr>
          <w:rFonts w:ascii="Arial" w:hAnsi="Arial" w:cs="Arial"/>
          <w:sz w:val="20"/>
          <w:lang w:val="en-US"/>
        </w:rPr>
      </w:pPr>
      <w:r w:rsidRPr="00DA7A2D">
        <w:rPr>
          <w:rFonts w:ascii="Arial" w:hAnsi="Arial" w:cs="Arial"/>
          <w:sz w:val="20"/>
          <w:lang w:val="en-US"/>
        </w:rPr>
        <w:t xml:space="preserve"> </w:t>
      </w:r>
    </w:p>
    <w:p w:rsidR="00DA7A2D" w:rsidRDefault="00DA7A2D">
      <w:pPr>
        <w:ind w:firstLine="708"/>
        <w:jc w:val="both"/>
        <w:rPr>
          <w:rFonts w:ascii="Arial" w:hAnsi="Arial" w:cs="Arial"/>
          <w:b/>
          <w:bCs/>
          <w:sz w:val="20"/>
          <w:lang w:val="en-US"/>
        </w:rPr>
      </w:pPr>
    </w:p>
    <w:p w:rsidR="00E967A7" w:rsidRPr="00DA7A2D" w:rsidRDefault="00DA7A2D">
      <w:pPr>
        <w:ind w:firstLine="708"/>
        <w:jc w:val="both"/>
        <w:rPr>
          <w:rFonts w:ascii="Arial" w:hAnsi="Arial" w:cs="Arial"/>
          <w:sz w:val="20"/>
          <w:lang w:val="en-US"/>
        </w:rPr>
      </w:pPr>
      <w:r>
        <w:rPr>
          <w:rFonts w:ascii="Arial" w:hAnsi="Arial" w:cs="Arial"/>
          <w:b/>
          <w:bCs/>
          <w:sz w:val="20"/>
          <w:lang w:val="en-US"/>
        </w:rPr>
        <w:t>Step</w:t>
      </w:r>
      <w:r w:rsidR="00E967A7" w:rsidRPr="00DA7A2D">
        <w:rPr>
          <w:rFonts w:ascii="Arial" w:hAnsi="Arial" w:cs="Arial"/>
          <w:b/>
          <w:bCs/>
          <w:sz w:val="20"/>
          <w:lang w:val="en-US"/>
        </w:rPr>
        <w:t xml:space="preserve"> 1</w:t>
      </w:r>
      <w:r w:rsidR="00E967A7" w:rsidRPr="00DA7A2D">
        <w:rPr>
          <w:rFonts w:ascii="Arial" w:hAnsi="Arial" w:cs="Arial"/>
          <w:sz w:val="20"/>
          <w:lang w:val="en-US"/>
        </w:rPr>
        <w:t xml:space="preserve">. </w:t>
      </w:r>
      <w:r>
        <w:rPr>
          <w:rFonts w:ascii="Arial" w:hAnsi="Arial" w:cs="Arial"/>
          <w:sz w:val="20"/>
          <w:lang w:val="en-US"/>
        </w:rPr>
        <w:t>S</w:t>
      </w:r>
      <w:r w:rsidRPr="00DA7A2D">
        <w:rPr>
          <w:rFonts w:ascii="Arial" w:hAnsi="Arial" w:cs="Arial"/>
          <w:sz w:val="20"/>
          <w:lang w:val="en-US"/>
        </w:rPr>
        <w:t xml:space="preserve">hares of securities’ value are calculated without restricting coefficients </w:t>
      </w:r>
      <w:r w:rsidR="00E967A7">
        <w:rPr>
          <w:rFonts w:ascii="Arial" w:hAnsi="Arial" w:cs="Arial"/>
          <w:b/>
          <w:i/>
          <w:sz w:val="20"/>
        </w:rPr>
        <w:t>С</w:t>
      </w:r>
      <w:r w:rsidR="00E967A7" w:rsidRPr="00DA7A2D">
        <w:rPr>
          <w:rFonts w:ascii="Arial" w:hAnsi="Arial" w:cs="Arial"/>
          <w:b/>
          <w:i/>
          <w:sz w:val="20"/>
          <w:vertAlign w:val="subscript"/>
          <w:lang w:val="en-US"/>
        </w:rPr>
        <w:t>n,i</w:t>
      </w:r>
      <w:r w:rsidR="00E967A7" w:rsidRPr="00DA7A2D">
        <w:rPr>
          <w:rFonts w:ascii="Arial" w:hAnsi="Arial" w:cs="Arial"/>
          <w:sz w:val="20"/>
          <w:lang w:val="en-US"/>
        </w:rPr>
        <w:t>:</w:t>
      </w:r>
    </w:p>
    <w:p w:rsidR="00E967A7" w:rsidRDefault="00E967A7">
      <w:pPr>
        <w:pStyle w:val="txt"/>
        <w:jc w:val="center"/>
        <w:rPr>
          <w:sz w:val="20"/>
          <w:lang w:val="en-US"/>
        </w:rPr>
      </w:pPr>
      <w:r w:rsidRPr="00EF30B4">
        <w:rPr>
          <w:position w:val="-60"/>
          <w:sz w:val="20"/>
        </w:rPr>
        <w:object w:dxaOrig="1680" w:dyaOrig="999">
          <v:shape id="_x0000_i1028" type="#_x0000_t75" style="width:84.25pt;height:50.25pt" o:ole="" fillcolor="window">
            <v:imagedata r:id="rId13" o:title=""/>
          </v:shape>
          <o:OLEObject Type="Embed" ProgID="Equation.3" ShapeID="_x0000_i1028" DrawAspect="Content" ObjectID="_1527600446" r:id="rId14"/>
        </w:object>
      </w:r>
      <w:r>
        <w:rPr>
          <w:sz w:val="20"/>
          <w:lang w:val="en-US"/>
        </w:rPr>
        <w:t>,</w:t>
      </w:r>
      <w:r w:rsidRPr="00CE696B">
        <w:rPr>
          <w:sz w:val="20"/>
          <w:lang w:val="en-US"/>
        </w:rPr>
        <w:tab/>
      </w:r>
      <w:r w:rsidRPr="00EF30B4">
        <w:rPr>
          <w:position w:val="-10"/>
          <w:sz w:val="20"/>
        </w:rPr>
        <w:object w:dxaOrig="980" w:dyaOrig="320">
          <v:shape id="_x0000_i1029" type="#_x0000_t75" style="width:48.9pt;height:16.3pt" o:ole="" fillcolor="window">
            <v:imagedata r:id="rId15" o:title=""/>
          </v:shape>
          <o:OLEObject Type="Embed" ProgID="Equation.3" ShapeID="_x0000_i1029" DrawAspect="Content" ObjectID="_1527600447" r:id="rId16"/>
        </w:object>
      </w:r>
    </w:p>
    <w:p w:rsidR="00E967A7" w:rsidRDefault="00E967A7">
      <w:pPr>
        <w:ind w:firstLine="708"/>
        <w:jc w:val="center"/>
        <w:rPr>
          <w:rFonts w:ascii="Arial" w:hAnsi="Arial" w:cs="Arial"/>
          <w:sz w:val="20"/>
          <w:lang w:val="en-US"/>
        </w:rPr>
      </w:pPr>
      <w:r w:rsidRPr="00EF30B4">
        <w:rPr>
          <w:rFonts w:ascii="Arial" w:hAnsi="Arial" w:cs="Arial"/>
          <w:position w:val="-28"/>
          <w:sz w:val="20"/>
          <w:lang w:val="en-US"/>
        </w:rPr>
        <w:object w:dxaOrig="2600" w:dyaOrig="540">
          <v:shape id="_x0000_i1030" type="#_x0000_t75" style="width:129.75pt;height:27.15pt" o:ole="">
            <v:imagedata r:id="rId17" o:title=""/>
          </v:shape>
          <o:OLEObject Type="Embed" ProgID="Equation.3" ShapeID="_x0000_i1030" DrawAspect="Content" ObjectID="_1527600448" r:id="rId18"/>
        </w:object>
      </w:r>
      <w:r w:rsidRPr="00DA7A2D">
        <w:rPr>
          <w:rFonts w:ascii="Arial" w:hAnsi="Arial" w:cs="Arial"/>
          <w:sz w:val="20"/>
          <w:lang w:val="en-US"/>
        </w:rPr>
        <w:t>,</w:t>
      </w:r>
    </w:p>
    <w:p w:rsidR="00DA7A2D" w:rsidRPr="00DA7A2D" w:rsidRDefault="00DA7A2D" w:rsidP="00DA7A2D">
      <w:pPr>
        <w:ind w:firstLine="708"/>
        <w:jc w:val="both"/>
        <w:rPr>
          <w:rFonts w:ascii="Arial" w:hAnsi="Arial" w:cs="Arial"/>
          <w:sz w:val="20"/>
          <w:lang w:val="en-US"/>
        </w:rPr>
      </w:pPr>
      <w:r w:rsidRPr="00DA7A2D">
        <w:rPr>
          <w:rFonts w:ascii="Arial" w:hAnsi="Arial" w:cs="Arial"/>
          <w:sz w:val="20"/>
          <w:lang w:val="en-US"/>
        </w:rPr>
        <w:t xml:space="preserve">where </w:t>
      </w:r>
      <w:r w:rsidRPr="00DA7A2D">
        <w:rPr>
          <w:rFonts w:ascii="Arial" w:hAnsi="Arial" w:cs="Arial"/>
          <w:b/>
          <w:bCs/>
          <w:sz w:val="20"/>
          <w:lang w:val="en-US"/>
        </w:rPr>
        <w:t>k</w:t>
      </w:r>
      <w:r w:rsidRPr="00DA7A2D">
        <w:rPr>
          <w:rFonts w:ascii="Arial" w:hAnsi="Arial" w:cs="Arial"/>
          <w:sz w:val="20"/>
          <w:lang w:val="en-US"/>
        </w:rPr>
        <w:t xml:space="preserve"> is a number of types of securities of i-th issuer included into </w:t>
      </w:r>
      <w:r>
        <w:rPr>
          <w:rFonts w:ascii="Arial" w:hAnsi="Arial" w:cs="Arial"/>
          <w:sz w:val="20"/>
          <w:lang w:val="en-US"/>
        </w:rPr>
        <w:t>I</w:t>
      </w:r>
      <w:r w:rsidRPr="00DA7A2D">
        <w:rPr>
          <w:rFonts w:ascii="Arial" w:hAnsi="Arial" w:cs="Arial"/>
          <w:sz w:val="20"/>
          <w:lang w:val="en-US"/>
        </w:rPr>
        <w:t>ndex.</w:t>
      </w:r>
    </w:p>
    <w:p w:rsidR="00E967A7" w:rsidRPr="00DA7A2D" w:rsidRDefault="00DA7A2D">
      <w:pPr>
        <w:ind w:firstLine="708"/>
        <w:jc w:val="both"/>
        <w:rPr>
          <w:rFonts w:ascii="Arial" w:hAnsi="Arial" w:cs="Arial"/>
          <w:sz w:val="20"/>
          <w:lang w:val="en-US"/>
        </w:rPr>
      </w:pPr>
      <w:r w:rsidRPr="00DA7A2D">
        <w:rPr>
          <w:rFonts w:ascii="Arial" w:hAnsi="Arial" w:cs="Arial"/>
          <w:sz w:val="20"/>
          <w:lang w:val="en-US"/>
        </w:rPr>
        <w:t>The number of issuers, for whom</w:t>
      </w:r>
      <w:r>
        <w:rPr>
          <w:rFonts w:ascii="Arial" w:hAnsi="Arial" w:cs="Arial"/>
          <w:lang w:val="en-US"/>
        </w:rPr>
        <w:t xml:space="preserve"> </w:t>
      </w:r>
      <w:r w:rsidR="00E967A7" w:rsidRPr="00EF30B4">
        <w:rPr>
          <w:rFonts w:ascii="Arial" w:hAnsi="Arial" w:cs="Arial"/>
          <w:position w:val="-10"/>
          <w:sz w:val="20"/>
        </w:rPr>
        <w:object w:dxaOrig="760" w:dyaOrig="360">
          <v:shape id="_x0000_i1031" type="#_x0000_t75" style="width:38.05pt;height:18.35pt" o:ole="" fillcolor="window">
            <v:imagedata r:id="rId19" o:title=""/>
          </v:shape>
          <o:OLEObject Type="Embed" ProgID="Equation.3" ShapeID="_x0000_i1031" DrawAspect="Content" ObjectID="_1527600449" r:id="rId20"/>
        </w:object>
      </w:r>
      <w:r>
        <w:rPr>
          <w:rFonts w:ascii="Arial" w:hAnsi="Arial" w:cs="Arial"/>
          <w:sz w:val="20"/>
          <w:lang w:val="en-US"/>
        </w:rPr>
        <w:t xml:space="preserve">, is calculated. </w:t>
      </w:r>
      <w:r w:rsidRPr="00DA7A2D">
        <w:rPr>
          <w:rFonts w:ascii="Arial" w:hAnsi="Arial" w:cs="Arial"/>
          <w:sz w:val="20"/>
          <w:lang w:val="en-US"/>
        </w:rPr>
        <w:t>Let us call these issuers "pent-up issuers". Let the number of these issuers be</w:t>
      </w:r>
      <w:r w:rsidR="00E967A7" w:rsidRPr="00DA7A2D">
        <w:rPr>
          <w:rFonts w:ascii="Arial" w:hAnsi="Arial" w:cs="Arial"/>
          <w:sz w:val="20"/>
          <w:lang w:val="en-US"/>
        </w:rPr>
        <w:t xml:space="preserve"> </w:t>
      </w:r>
      <w:r w:rsidR="00E967A7" w:rsidRPr="00DA7A2D">
        <w:rPr>
          <w:rFonts w:ascii="Arial" w:hAnsi="Arial" w:cs="Arial"/>
          <w:b/>
          <w:sz w:val="20"/>
          <w:lang w:val="en-US"/>
        </w:rPr>
        <w:t>M</w:t>
      </w:r>
      <w:r w:rsidR="00E967A7" w:rsidRPr="00DA7A2D">
        <w:rPr>
          <w:rFonts w:ascii="Arial" w:hAnsi="Arial" w:cs="Arial"/>
          <w:sz w:val="20"/>
          <w:vertAlign w:val="superscript"/>
          <w:lang w:val="en-US"/>
        </w:rPr>
        <w:t>(1)</w:t>
      </w:r>
      <w:r w:rsidR="00E967A7" w:rsidRPr="00DA7A2D">
        <w:rPr>
          <w:rFonts w:ascii="Arial" w:hAnsi="Arial" w:cs="Arial"/>
          <w:sz w:val="20"/>
          <w:lang w:val="en-US"/>
        </w:rPr>
        <w:t>.</w:t>
      </w:r>
    </w:p>
    <w:p w:rsidR="00E967A7" w:rsidRPr="00DA7A2D" w:rsidRDefault="00DA7A2D">
      <w:pPr>
        <w:ind w:firstLine="708"/>
        <w:jc w:val="both"/>
        <w:rPr>
          <w:rFonts w:ascii="Arial" w:hAnsi="Arial" w:cs="Arial"/>
          <w:sz w:val="20"/>
          <w:lang w:val="en-US"/>
        </w:rPr>
      </w:pPr>
      <w:r>
        <w:rPr>
          <w:rFonts w:ascii="Arial" w:hAnsi="Arial" w:cs="Arial"/>
          <w:b/>
          <w:bCs/>
          <w:sz w:val="20"/>
          <w:lang w:val="en-US"/>
        </w:rPr>
        <w:t>Step</w:t>
      </w:r>
      <w:r w:rsidR="00E967A7" w:rsidRPr="00DA7A2D">
        <w:rPr>
          <w:rFonts w:ascii="Arial" w:hAnsi="Arial" w:cs="Arial"/>
          <w:b/>
          <w:bCs/>
          <w:sz w:val="20"/>
          <w:lang w:val="en-US"/>
        </w:rPr>
        <w:t xml:space="preserve"> 2</w:t>
      </w:r>
      <w:r w:rsidR="00E967A7" w:rsidRPr="00DA7A2D">
        <w:rPr>
          <w:rFonts w:ascii="Arial" w:hAnsi="Arial" w:cs="Arial"/>
          <w:sz w:val="20"/>
          <w:lang w:val="en-US"/>
        </w:rPr>
        <w:t xml:space="preserve">. </w:t>
      </w:r>
      <w:r w:rsidRPr="00DA7A2D">
        <w:rPr>
          <w:rFonts w:ascii="Arial" w:hAnsi="Arial" w:cs="Arial"/>
          <w:sz w:val="20"/>
          <w:lang w:val="en-US"/>
        </w:rPr>
        <w:t xml:space="preserve">An auxiliary value </w:t>
      </w:r>
      <w:r w:rsidR="00E967A7" w:rsidRPr="00DA7A2D">
        <w:rPr>
          <w:rFonts w:ascii="Arial" w:hAnsi="Arial" w:cs="Arial"/>
          <w:sz w:val="20"/>
          <w:lang w:val="en-US"/>
        </w:rPr>
        <w:t xml:space="preserve"> </w:t>
      </w:r>
      <w:r w:rsidR="00E967A7" w:rsidRPr="00EF30B4">
        <w:rPr>
          <w:rFonts w:ascii="Arial" w:hAnsi="Arial" w:cs="Arial"/>
          <w:sz w:val="20"/>
        </w:rPr>
        <w:object w:dxaOrig="460" w:dyaOrig="300">
          <v:shape id="_x0000_i1032" type="#_x0000_t75" style="width:23.1pt;height:14.95pt" o:ole="" fillcolor="window">
            <v:imagedata r:id="rId21" o:title=""/>
          </v:shape>
          <o:OLEObject Type="Embed" ProgID="Equation.3" ShapeID="_x0000_i1032" DrawAspect="Content" ObjectID="_1527600450" r:id="rId22"/>
        </w:object>
      </w:r>
      <w:r w:rsidR="00E967A7" w:rsidRPr="00DA7A2D">
        <w:rPr>
          <w:rFonts w:ascii="Arial" w:hAnsi="Arial" w:cs="Arial"/>
          <w:sz w:val="20"/>
          <w:lang w:val="en-US"/>
        </w:rPr>
        <w:t xml:space="preserve"> </w:t>
      </w:r>
      <w:r w:rsidRPr="00DA7A2D">
        <w:rPr>
          <w:rFonts w:ascii="Arial" w:hAnsi="Arial" w:cs="Arial"/>
          <w:sz w:val="20"/>
          <w:lang w:val="en-US"/>
        </w:rPr>
        <w:t>is calculated as follows</w:t>
      </w:r>
      <w:r w:rsidR="00E967A7" w:rsidRPr="00DA7A2D">
        <w:rPr>
          <w:rFonts w:ascii="Arial" w:hAnsi="Arial" w:cs="Arial"/>
          <w:sz w:val="20"/>
          <w:lang w:val="en-US"/>
        </w:rPr>
        <w:t>:</w:t>
      </w:r>
    </w:p>
    <w:p w:rsidR="00E967A7" w:rsidRPr="003E1FC3" w:rsidRDefault="00E967A7">
      <w:pPr>
        <w:pStyle w:val="txt"/>
        <w:jc w:val="center"/>
        <w:rPr>
          <w:sz w:val="20"/>
          <w:lang w:val="en-US"/>
        </w:rPr>
      </w:pPr>
      <w:r w:rsidRPr="00EF30B4">
        <w:rPr>
          <w:position w:val="-64"/>
          <w:sz w:val="20"/>
        </w:rPr>
        <w:object w:dxaOrig="2799" w:dyaOrig="1060">
          <v:shape id="_x0000_i1033" type="#_x0000_t75" style="width:139.9pt;height:53pt" o:ole="" fillcolor="window">
            <v:imagedata r:id="rId23" o:title=""/>
          </v:shape>
          <o:OLEObject Type="Embed" ProgID="Equation.3" ShapeID="_x0000_i1033" DrawAspect="Content" ObjectID="_1527600451" r:id="rId24"/>
        </w:object>
      </w:r>
      <w:r w:rsidRPr="003E1FC3">
        <w:rPr>
          <w:sz w:val="20"/>
          <w:lang w:val="en-US"/>
        </w:rPr>
        <w:t>,</w:t>
      </w:r>
    </w:p>
    <w:p w:rsidR="00DA7A2D" w:rsidRDefault="00DA7A2D" w:rsidP="00DA7A2D">
      <w:pPr>
        <w:pStyle w:val="txt"/>
        <w:rPr>
          <w:color w:val="auto"/>
          <w:sz w:val="20"/>
          <w:szCs w:val="20"/>
          <w:lang w:val="en-US"/>
        </w:rPr>
      </w:pPr>
      <w:r>
        <w:rPr>
          <w:color w:val="auto"/>
          <w:sz w:val="20"/>
          <w:szCs w:val="20"/>
          <w:lang w:val="en-US"/>
        </w:rPr>
        <w:t>where</w:t>
      </w:r>
      <w:r w:rsidRPr="00DA7A2D">
        <w:rPr>
          <w:color w:val="auto"/>
          <w:sz w:val="20"/>
          <w:szCs w:val="20"/>
          <w:lang w:val="en-US"/>
        </w:rPr>
        <w:t xml:space="preserve"> </w:t>
      </w:r>
      <w:r>
        <w:rPr>
          <w:color w:val="auto"/>
          <w:sz w:val="20"/>
          <w:szCs w:val="20"/>
          <w:lang w:val="en-US"/>
        </w:rPr>
        <w:t>the</w:t>
      </w:r>
      <w:r w:rsidRPr="00DA7A2D">
        <w:rPr>
          <w:color w:val="auto"/>
          <w:sz w:val="20"/>
          <w:szCs w:val="20"/>
          <w:lang w:val="en-US"/>
        </w:rPr>
        <w:t xml:space="preserve"> </w:t>
      </w:r>
      <w:r>
        <w:rPr>
          <w:color w:val="auto"/>
          <w:sz w:val="20"/>
          <w:szCs w:val="20"/>
          <w:lang w:val="en-US"/>
        </w:rPr>
        <w:t>sum</w:t>
      </w:r>
      <w:r w:rsidRPr="00DA7A2D">
        <w:rPr>
          <w:color w:val="auto"/>
          <w:sz w:val="20"/>
          <w:szCs w:val="20"/>
          <w:lang w:val="en-US"/>
        </w:rPr>
        <w:t xml:space="preserve"> </w:t>
      </w:r>
      <w:r>
        <w:rPr>
          <w:color w:val="auto"/>
          <w:sz w:val="20"/>
          <w:szCs w:val="20"/>
          <w:lang w:val="en-US"/>
        </w:rPr>
        <w:t>in</w:t>
      </w:r>
      <w:r w:rsidRPr="00DA7A2D">
        <w:rPr>
          <w:color w:val="auto"/>
          <w:sz w:val="20"/>
          <w:szCs w:val="20"/>
          <w:lang w:val="en-US"/>
        </w:rPr>
        <w:t xml:space="preserve"> </w:t>
      </w:r>
      <w:r>
        <w:rPr>
          <w:color w:val="auto"/>
          <w:sz w:val="20"/>
          <w:szCs w:val="20"/>
          <w:lang w:val="en-US"/>
        </w:rPr>
        <w:t>the</w:t>
      </w:r>
      <w:r w:rsidRPr="00DA7A2D">
        <w:rPr>
          <w:color w:val="auto"/>
          <w:sz w:val="20"/>
          <w:szCs w:val="20"/>
          <w:lang w:val="en-US"/>
        </w:rPr>
        <w:t xml:space="preserve"> </w:t>
      </w:r>
      <w:r>
        <w:rPr>
          <w:color w:val="auto"/>
          <w:sz w:val="20"/>
          <w:szCs w:val="20"/>
          <w:lang w:val="en-US"/>
        </w:rPr>
        <w:t>denominator</w:t>
      </w:r>
      <w:r w:rsidRPr="00DA7A2D">
        <w:rPr>
          <w:color w:val="auto"/>
          <w:sz w:val="20"/>
          <w:szCs w:val="20"/>
          <w:lang w:val="en-US"/>
        </w:rPr>
        <w:t xml:space="preserve"> </w:t>
      </w:r>
      <w:r w:rsidR="00E967A7" w:rsidRPr="00DA7A2D">
        <w:rPr>
          <w:lang w:val="en-US"/>
        </w:rPr>
        <w:t>(</w:t>
      </w:r>
      <w:r w:rsidR="00E967A7" w:rsidRPr="00EF30B4">
        <w:rPr>
          <w:position w:val="-28"/>
        </w:rPr>
        <w:object w:dxaOrig="1180" w:dyaOrig="720">
          <v:shape id="_x0000_i1034" type="#_x0000_t75" style="width:59.1pt;height:36pt" o:ole="">
            <v:imagedata r:id="rId25" o:title=""/>
          </v:shape>
          <o:OLEObject Type="Embed" ProgID="Equation.3" ShapeID="_x0000_i1034" DrawAspect="Content" ObjectID="_1527600452" r:id="rId26"/>
        </w:object>
      </w:r>
      <w:r w:rsidR="00E967A7" w:rsidRPr="00DA7A2D">
        <w:rPr>
          <w:lang w:val="en-US"/>
        </w:rPr>
        <w:t>)</w:t>
      </w:r>
      <w:r>
        <w:rPr>
          <w:lang w:val="en-US"/>
        </w:rPr>
        <w:t xml:space="preserve"> </w:t>
      </w:r>
      <w:r>
        <w:rPr>
          <w:color w:val="auto"/>
          <w:sz w:val="20"/>
          <w:szCs w:val="20"/>
          <w:lang w:val="en-US"/>
        </w:rPr>
        <w:t xml:space="preserve">is calculated based on issuers that are not on the list of the "pent up issuers". </w:t>
      </w:r>
    </w:p>
    <w:p w:rsidR="00DA7A2D" w:rsidRDefault="00DA7A2D" w:rsidP="00DA7A2D">
      <w:pPr>
        <w:pStyle w:val="txt"/>
        <w:rPr>
          <w:color w:val="auto"/>
          <w:sz w:val="20"/>
          <w:szCs w:val="20"/>
          <w:lang w:val="en-US"/>
        </w:rPr>
      </w:pPr>
    </w:p>
    <w:p w:rsidR="00E967A7" w:rsidRDefault="00E967A7">
      <w:pPr>
        <w:ind w:firstLine="708"/>
        <w:jc w:val="center"/>
        <w:rPr>
          <w:rFonts w:ascii="Arial" w:hAnsi="Arial" w:cs="Arial"/>
          <w:sz w:val="20"/>
        </w:rPr>
      </w:pPr>
      <w:r w:rsidRPr="00EF30B4">
        <w:rPr>
          <w:position w:val="-24"/>
          <w:sz w:val="20"/>
        </w:rPr>
        <w:object w:dxaOrig="2140" w:dyaOrig="999">
          <v:shape id="_x0000_i1035" type="#_x0000_t75" style="width:107.3pt;height:50.25pt" o:ole="" fillcolor="window">
            <v:imagedata r:id="rId27" o:title=""/>
          </v:shape>
          <o:OLEObject Type="Embed" ProgID="Equation.3" ShapeID="_x0000_i1035" DrawAspect="Content" ObjectID="_1527600453" r:id="rId28"/>
        </w:object>
      </w:r>
    </w:p>
    <w:p w:rsidR="00DA7A2D" w:rsidRPr="001653DD" w:rsidRDefault="00DA7A2D" w:rsidP="00DA7A2D">
      <w:pPr>
        <w:ind w:firstLine="708"/>
        <w:jc w:val="both"/>
        <w:rPr>
          <w:rFonts w:ascii="Arial" w:hAnsi="Arial" w:cs="Arial"/>
          <w:lang w:val="en-US"/>
        </w:rPr>
      </w:pPr>
      <w:r>
        <w:rPr>
          <w:rFonts w:ascii="Arial" w:hAnsi="Arial" w:cs="Arial"/>
          <w:b/>
          <w:bCs/>
          <w:sz w:val="20"/>
          <w:lang w:val="en-US"/>
        </w:rPr>
        <w:t>Step</w:t>
      </w:r>
      <w:r w:rsidR="00E967A7" w:rsidRPr="00DA7A2D">
        <w:rPr>
          <w:rFonts w:ascii="Arial" w:hAnsi="Arial" w:cs="Arial"/>
          <w:b/>
          <w:bCs/>
          <w:sz w:val="20"/>
          <w:lang w:val="en-US"/>
        </w:rPr>
        <w:t xml:space="preserve"> 3</w:t>
      </w:r>
      <w:r w:rsidR="00E967A7" w:rsidRPr="00DA7A2D">
        <w:rPr>
          <w:rFonts w:ascii="Arial" w:hAnsi="Arial" w:cs="Arial"/>
          <w:sz w:val="20"/>
          <w:lang w:val="en-US"/>
        </w:rPr>
        <w:t xml:space="preserve">. </w:t>
      </w:r>
      <w:r w:rsidRPr="00DA7A2D">
        <w:rPr>
          <w:rFonts w:ascii="Arial" w:hAnsi="Arial" w:cs="Arial"/>
          <w:sz w:val="20"/>
          <w:lang w:val="en-US"/>
        </w:rPr>
        <w:t>The shares of securities’ values of issuers</w:t>
      </w:r>
      <w:r w:rsidRPr="001653DD">
        <w:rPr>
          <w:rFonts w:ascii="Arial" w:hAnsi="Arial" w:cs="Arial"/>
          <w:lang w:val="en-US"/>
        </w:rPr>
        <w:t xml:space="preserve"> </w:t>
      </w:r>
      <w:r w:rsidR="00E967A7" w:rsidRPr="00EF30B4">
        <w:rPr>
          <w:rFonts w:ascii="Arial" w:hAnsi="Arial" w:cs="Arial"/>
          <w:position w:val="-14"/>
          <w:sz w:val="20"/>
        </w:rPr>
        <w:object w:dxaOrig="400" w:dyaOrig="400">
          <v:shape id="_x0000_i1036" type="#_x0000_t75" style="width:19.7pt;height:19.7pt" o:ole="" fillcolor="window">
            <v:imagedata r:id="rId29" o:title=""/>
          </v:shape>
          <o:OLEObject Type="Embed" ProgID="Equation.3" ShapeID="_x0000_i1036" DrawAspect="Content" ObjectID="_1527600454" r:id="rId30"/>
        </w:object>
      </w:r>
      <w:r w:rsidRPr="00DA7A2D">
        <w:rPr>
          <w:rFonts w:ascii="Arial" w:hAnsi="Arial" w:cs="Arial"/>
          <w:lang w:val="en-US"/>
        </w:rPr>
        <w:t xml:space="preserve"> </w:t>
      </w:r>
      <w:r w:rsidRPr="00DA7A2D">
        <w:rPr>
          <w:rFonts w:ascii="Arial" w:hAnsi="Arial" w:cs="Arial"/>
          <w:sz w:val="20"/>
          <w:lang w:val="en-US"/>
        </w:rPr>
        <w:t>are calculated as follows:</w:t>
      </w:r>
    </w:p>
    <w:p w:rsidR="00E967A7" w:rsidRPr="00DA7A2D" w:rsidRDefault="00E967A7">
      <w:pPr>
        <w:ind w:firstLine="708"/>
        <w:jc w:val="both"/>
        <w:rPr>
          <w:rFonts w:ascii="Arial" w:hAnsi="Arial" w:cs="Arial"/>
          <w:sz w:val="20"/>
          <w:lang w:val="en-US"/>
        </w:rPr>
      </w:pPr>
    </w:p>
    <w:p w:rsidR="00E967A7" w:rsidRDefault="00E967A7">
      <w:pPr>
        <w:pStyle w:val="txt"/>
        <w:jc w:val="center"/>
        <w:rPr>
          <w:sz w:val="20"/>
        </w:rPr>
      </w:pPr>
      <w:r w:rsidRPr="00EF30B4">
        <w:rPr>
          <w:position w:val="-60"/>
          <w:sz w:val="20"/>
        </w:rPr>
        <w:object w:dxaOrig="1700" w:dyaOrig="999">
          <v:shape id="_x0000_i1037" type="#_x0000_t75" style="width:84.9pt;height:50.25pt" o:ole="" fillcolor="window">
            <v:imagedata r:id="rId31" o:title=""/>
          </v:shape>
          <o:OLEObject Type="Embed" ProgID="Equation.3" ShapeID="_x0000_i1037" DrawAspect="Content" ObjectID="_1527600455" r:id="rId32"/>
        </w:object>
      </w:r>
    </w:p>
    <w:p w:rsidR="00E967A7" w:rsidRPr="004E268A" w:rsidRDefault="00E967A7" w:rsidP="004E268A">
      <w:pPr>
        <w:pStyle w:val="txt"/>
        <w:spacing w:after="0" w:afterAutospacing="0"/>
        <w:jc w:val="both"/>
        <w:rPr>
          <w:sz w:val="20"/>
          <w:szCs w:val="20"/>
          <w:lang w:val="en-US"/>
        </w:rPr>
      </w:pPr>
      <w:r w:rsidRPr="004E268A">
        <w:rPr>
          <w:sz w:val="20"/>
          <w:szCs w:val="20"/>
          <w:lang w:val="en-US"/>
        </w:rPr>
        <w:t xml:space="preserve"> </w:t>
      </w:r>
      <w:r w:rsidR="00DA7A2D" w:rsidRPr="004E268A">
        <w:rPr>
          <w:sz w:val="20"/>
          <w:szCs w:val="20"/>
          <w:lang w:val="en-US"/>
        </w:rPr>
        <w:t xml:space="preserve">on condition that for each "pent up issuer" </w:t>
      </w:r>
      <w:r w:rsidRPr="004E268A">
        <w:rPr>
          <w:sz w:val="20"/>
          <w:szCs w:val="20"/>
          <w:lang w:val="en-US"/>
        </w:rPr>
        <w:t>Mcap</w:t>
      </w:r>
      <w:r w:rsidRPr="004E268A">
        <w:rPr>
          <w:sz w:val="20"/>
          <w:szCs w:val="20"/>
          <w:vertAlign w:val="subscript"/>
          <w:lang w:val="en-US"/>
        </w:rPr>
        <w:t>n,i</w:t>
      </w:r>
      <w:r w:rsidRPr="004E268A">
        <w:rPr>
          <w:sz w:val="20"/>
          <w:szCs w:val="20"/>
          <w:lang w:val="en-US"/>
        </w:rPr>
        <w:t>=X</w:t>
      </w:r>
      <w:r w:rsidRPr="004E268A">
        <w:rPr>
          <w:sz w:val="20"/>
          <w:szCs w:val="20"/>
          <w:vertAlign w:val="superscript"/>
          <w:lang w:val="en-US"/>
        </w:rPr>
        <w:t>(1)</w:t>
      </w:r>
      <w:r w:rsidRPr="004E268A">
        <w:rPr>
          <w:sz w:val="20"/>
          <w:szCs w:val="20"/>
          <w:lang w:val="en-US"/>
        </w:rPr>
        <w:t xml:space="preserve">. </w:t>
      </w:r>
      <w:r w:rsidR="004E268A" w:rsidRPr="004E268A">
        <w:rPr>
          <w:sz w:val="20"/>
          <w:szCs w:val="20"/>
          <w:lang w:val="en-US"/>
        </w:rPr>
        <w:t>The new list of "pent up issuers" will include securities that meet the following criterion:</w:t>
      </w:r>
      <w:r w:rsidR="004E268A">
        <w:rPr>
          <w:sz w:val="20"/>
          <w:szCs w:val="20"/>
          <w:lang w:val="en-US"/>
        </w:rPr>
        <w:t xml:space="preserve"> </w:t>
      </w:r>
      <w:r w:rsidRPr="004E268A">
        <w:rPr>
          <w:position w:val="-14"/>
          <w:sz w:val="20"/>
          <w:szCs w:val="20"/>
        </w:rPr>
        <w:object w:dxaOrig="800" w:dyaOrig="400">
          <v:shape id="_x0000_i1038" type="#_x0000_t75" style="width:40.1pt;height:19.7pt" o:ole="" fillcolor="window">
            <v:imagedata r:id="rId33" o:title=""/>
          </v:shape>
          <o:OLEObject Type="Embed" ProgID="Equation.3" ShapeID="_x0000_i1038" DrawAspect="Content" ObjectID="_1527600456" r:id="rId34"/>
        </w:object>
      </w:r>
      <w:r w:rsidRPr="004E268A">
        <w:rPr>
          <w:sz w:val="20"/>
          <w:szCs w:val="20"/>
          <w:lang w:val="en-US"/>
        </w:rPr>
        <w:t xml:space="preserve">. </w:t>
      </w:r>
      <w:r w:rsidR="004E268A" w:rsidRPr="004E268A">
        <w:rPr>
          <w:sz w:val="20"/>
          <w:szCs w:val="20"/>
          <w:lang w:val="en-US"/>
        </w:rPr>
        <w:t xml:space="preserve">If the new list does not match the old </w:t>
      </w:r>
      <w:r w:rsidR="004E268A" w:rsidRPr="004E268A">
        <w:rPr>
          <w:sz w:val="20"/>
          <w:szCs w:val="20"/>
          <w:lang w:val="en-US"/>
        </w:rPr>
        <w:lastRenderedPageBreak/>
        <w:t xml:space="preserve">list (the new list is longer than the old one), </w:t>
      </w:r>
      <w:r w:rsidR="004E268A" w:rsidRPr="004E268A">
        <w:rPr>
          <w:b/>
          <w:bCs/>
          <w:sz w:val="20"/>
          <w:szCs w:val="20"/>
          <w:lang w:val="en-US"/>
        </w:rPr>
        <w:t>Step 2</w:t>
      </w:r>
      <w:r w:rsidR="004E268A" w:rsidRPr="004E268A">
        <w:rPr>
          <w:sz w:val="20"/>
          <w:szCs w:val="20"/>
          <w:lang w:val="en-US"/>
        </w:rPr>
        <w:t xml:space="preserve"> is repeated with a new list of "pent up issuers". Otherwise, move to </w:t>
      </w:r>
      <w:r w:rsidR="004E268A" w:rsidRPr="004E268A">
        <w:rPr>
          <w:b/>
          <w:bCs/>
          <w:sz w:val="20"/>
          <w:szCs w:val="20"/>
          <w:lang w:val="en-US"/>
        </w:rPr>
        <w:t>Step 4</w:t>
      </w:r>
      <w:r w:rsidR="004E268A" w:rsidRPr="004E268A">
        <w:rPr>
          <w:sz w:val="20"/>
          <w:szCs w:val="20"/>
          <w:lang w:val="en-US"/>
        </w:rPr>
        <w:t xml:space="preserve">. After </w:t>
      </w:r>
      <w:r w:rsidR="004E268A" w:rsidRPr="004E268A">
        <w:rPr>
          <w:b/>
          <w:bCs/>
          <w:sz w:val="20"/>
          <w:szCs w:val="20"/>
          <w:lang w:val="en-US"/>
        </w:rPr>
        <w:t>k</w:t>
      </w:r>
      <w:r w:rsidR="004E268A" w:rsidRPr="004E268A">
        <w:rPr>
          <w:sz w:val="20"/>
          <w:szCs w:val="20"/>
          <w:lang w:val="en-US"/>
        </w:rPr>
        <w:t xml:space="preserve"> iterations we will have the final list of "pent up issuers" and the final value </w:t>
      </w:r>
      <w:r w:rsidRPr="004E268A">
        <w:rPr>
          <w:sz w:val="20"/>
          <w:szCs w:val="20"/>
          <w:lang w:val="en-US"/>
        </w:rPr>
        <w:t>X=X</w:t>
      </w:r>
      <w:r w:rsidRPr="004E268A">
        <w:rPr>
          <w:sz w:val="20"/>
          <w:szCs w:val="20"/>
          <w:vertAlign w:val="superscript"/>
          <w:lang w:val="en-US"/>
        </w:rPr>
        <w:t>(k)</w:t>
      </w:r>
      <w:r w:rsidRPr="004E268A">
        <w:rPr>
          <w:sz w:val="20"/>
          <w:szCs w:val="20"/>
          <w:lang w:val="en-US"/>
        </w:rPr>
        <w:t>.</w:t>
      </w:r>
    </w:p>
    <w:p w:rsidR="004E268A" w:rsidRPr="004E268A" w:rsidRDefault="004E268A" w:rsidP="004E268A">
      <w:pPr>
        <w:pStyle w:val="txt"/>
        <w:spacing w:after="0" w:afterAutospacing="0"/>
        <w:jc w:val="both"/>
        <w:rPr>
          <w:lang w:val="en-US"/>
        </w:rPr>
      </w:pPr>
    </w:p>
    <w:p w:rsidR="00E967A7" w:rsidRPr="00B94577" w:rsidRDefault="00B94577">
      <w:pPr>
        <w:ind w:firstLine="708"/>
        <w:jc w:val="both"/>
        <w:rPr>
          <w:rFonts w:ascii="Arial" w:hAnsi="Arial" w:cs="Arial"/>
          <w:sz w:val="20"/>
          <w:lang w:val="en-US"/>
        </w:rPr>
      </w:pPr>
      <w:r>
        <w:rPr>
          <w:rFonts w:ascii="Arial" w:hAnsi="Arial" w:cs="Arial"/>
          <w:b/>
          <w:bCs/>
          <w:sz w:val="20"/>
          <w:lang w:val="en-US"/>
        </w:rPr>
        <w:t>Step</w:t>
      </w:r>
      <w:r w:rsidR="00E967A7" w:rsidRPr="00B94577">
        <w:rPr>
          <w:rFonts w:ascii="Arial" w:hAnsi="Arial" w:cs="Arial"/>
          <w:b/>
          <w:bCs/>
          <w:sz w:val="20"/>
          <w:lang w:val="en-US"/>
        </w:rPr>
        <w:t xml:space="preserve"> 4</w:t>
      </w:r>
      <w:r w:rsidR="00E967A7" w:rsidRPr="00B94577">
        <w:rPr>
          <w:rFonts w:ascii="Arial" w:hAnsi="Arial" w:cs="Arial"/>
          <w:sz w:val="20"/>
          <w:lang w:val="en-US"/>
        </w:rPr>
        <w:t xml:space="preserve">. </w:t>
      </w:r>
      <w:r w:rsidRPr="00B94577">
        <w:rPr>
          <w:rFonts w:ascii="Arial" w:hAnsi="Arial" w:cs="Arial"/>
          <w:sz w:val="20"/>
          <w:lang w:val="en-US"/>
        </w:rPr>
        <w:t xml:space="preserve">For "pent up issuers" the following coefficients are calculated </w:t>
      </w:r>
    </w:p>
    <w:p w:rsidR="00E967A7" w:rsidRPr="00CE696B" w:rsidRDefault="00E967A7">
      <w:pPr>
        <w:pStyle w:val="txt"/>
        <w:jc w:val="center"/>
        <w:rPr>
          <w:sz w:val="20"/>
          <w:lang w:val="en-US"/>
        </w:rPr>
      </w:pPr>
      <w:r w:rsidRPr="00EF30B4">
        <w:rPr>
          <w:position w:val="-30"/>
          <w:sz w:val="20"/>
        </w:rPr>
        <w:object w:dxaOrig="2000" w:dyaOrig="680">
          <v:shape id="_x0000_i1039" type="#_x0000_t75" style="width:99.85pt;height:33.95pt" o:ole="" fillcolor="window">
            <v:imagedata r:id="rId35" o:title=""/>
          </v:shape>
          <o:OLEObject Type="Embed" ProgID="Equation.3" ShapeID="_x0000_i1039" DrawAspect="Content" ObjectID="_1527600457" r:id="rId36"/>
        </w:object>
      </w:r>
      <w:r w:rsidRPr="00CE696B">
        <w:rPr>
          <w:sz w:val="20"/>
          <w:lang w:val="en-US"/>
        </w:rPr>
        <w:t>,</w:t>
      </w:r>
    </w:p>
    <w:p w:rsidR="00E967A7" w:rsidRPr="00B94577" w:rsidRDefault="00B94577">
      <w:pPr>
        <w:ind w:firstLine="708"/>
        <w:jc w:val="both"/>
        <w:rPr>
          <w:rFonts w:ascii="Arial" w:hAnsi="Arial" w:cs="Arial"/>
          <w:sz w:val="20"/>
          <w:lang w:val="en-US"/>
        </w:rPr>
      </w:pPr>
      <w:r w:rsidRPr="00B94577">
        <w:rPr>
          <w:rFonts w:ascii="Arial" w:hAnsi="Arial" w:cs="Arial"/>
          <w:sz w:val="20"/>
          <w:lang w:val="en-US"/>
        </w:rPr>
        <w:t>for the rest of issuers</w:t>
      </w:r>
      <w:r>
        <w:rPr>
          <w:rFonts w:ascii="Arial" w:hAnsi="Arial" w:cs="Arial"/>
          <w:lang w:val="en-US"/>
        </w:rPr>
        <w:t xml:space="preserve"> </w:t>
      </w:r>
      <w:r w:rsidR="00E967A7">
        <w:rPr>
          <w:rFonts w:ascii="Arial" w:hAnsi="Arial" w:cs="Arial"/>
          <w:b/>
          <w:i/>
          <w:sz w:val="20"/>
        </w:rPr>
        <w:t>С</w:t>
      </w:r>
      <w:r w:rsidR="00E967A7" w:rsidRPr="00B94577">
        <w:rPr>
          <w:rFonts w:ascii="Arial" w:hAnsi="Arial" w:cs="Arial"/>
          <w:b/>
          <w:i/>
          <w:sz w:val="20"/>
          <w:vertAlign w:val="subscript"/>
          <w:lang w:val="en-US"/>
        </w:rPr>
        <w:t>n+1,i</w:t>
      </w:r>
      <w:r w:rsidR="00E967A7" w:rsidRPr="00B94577">
        <w:rPr>
          <w:rFonts w:ascii="Arial" w:hAnsi="Arial" w:cs="Arial"/>
          <w:sz w:val="20"/>
          <w:lang w:val="en-US"/>
        </w:rPr>
        <w:t xml:space="preserve"> = 1.</w:t>
      </w:r>
    </w:p>
    <w:p w:rsidR="00E967A7" w:rsidRPr="00B94577" w:rsidRDefault="00E967A7">
      <w:pPr>
        <w:rPr>
          <w:rFonts w:ascii="Arial" w:hAnsi="Arial" w:cs="Arial"/>
          <w:sz w:val="20"/>
          <w:lang w:val="en-US"/>
        </w:rPr>
      </w:pPr>
    </w:p>
    <w:p w:rsidR="00E967A7" w:rsidRDefault="00B94577">
      <w:pPr>
        <w:keepNext/>
        <w:numPr>
          <w:ilvl w:val="0"/>
          <w:numId w:val="5"/>
        </w:numPr>
        <w:spacing w:before="284" w:after="240"/>
        <w:rPr>
          <w:rFonts w:ascii="Arial" w:hAnsi="Arial" w:cs="Arial"/>
          <w:b/>
          <w:sz w:val="20"/>
        </w:rPr>
      </w:pPr>
      <w:r>
        <w:rPr>
          <w:rFonts w:ascii="Arial" w:hAnsi="Arial" w:cs="Arial"/>
          <w:b/>
          <w:sz w:val="20"/>
          <w:lang w:val="en-US"/>
        </w:rPr>
        <w:t>Initial data</w:t>
      </w:r>
    </w:p>
    <w:p w:rsidR="00B94577" w:rsidRDefault="00B94577" w:rsidP="00B94577">
      <w:pPr>
        <w:pStyle w:val="a7"/>
        <w:spacing w:before="120" w:after="0"/>
        <w:jc w:val="both"/>
        <w:rPr>
          <w:rFonts w:ascii="Arial" w:hAnsi="Arial" w:cs="Arial"/>
          <w:sz w:val="20"/>
          <w:lang w:val="en-US"/>
        </w:rPr>
      </w:pPr>
      <w:r>
        <w:rPr>
          <w:rFonts w:ascii="Arial" w:hAnsi="Arial" w:cs="Arial"/>
          <w:sz w:val="20"/>
          <w:lang w:val="en-US"/>
        </w:rPr>
        <w:t xml:space="preserve">The following initial data is used to calculate the Index: </w:t>
      </w:r>
    </w:p>
    <w:p w:rsidR="00E967A7" w:rsidRPr="00CE696B" w:rsidRDefault="00E967A7">
      <w:pPr>
        <w:pStyle w:val="a7"/>
        <w:jc w:val="both"/>
        <w:rPr>
          <w:rFonts w:ascii="Arial" w:hAnsi="Arial" w:cs="Arial"/>
          <w:sz w:val="20"/>
          <w:lang w:val="en-US"/>
        </w:rPr>
      </w:pPr>
    </w:p>
    <w:p w:rsidR="00E967A7" w:rsidRPr="00B94577" w:rsidRDefault="00B94577">
      <w:pPr>
        <w:pStyle w:val="a7"/>
        <w:numPr>
          <w:ilvl w:val="0"/>
          <w:numId w:val="3"/>
        </w:numPr>
        <w:jc w:val="both"/>
        <w:rPr>
          <w:rFonts w:ascii="Arial" w:hAnsi="Arial" w:cs="Arial"/>
          <w:sz w:val="20"/>
          <w:lang w:val="en-US"/>
        </w:rPr>
      </w:pPr>
      <w:r w:rsidRPr="00B94577">
        <w:rPr>
          <w:rFonts w:ascii="Arial" w:hAnsi="Arial" w:cs="Arial"/>
          <w:sz w:val="20"/>
          <w:lang w:val="en-US"/>
        </w:rPr>
        <w:t>Information about transactions executed in the trading system based on the indirect orders with constituent securities during a trading session</w:t>
      </w:r>
      <w:r w:rsidR="00E967A7" w:rsidRPr="00B94577">
        <w:rPr>
          <w:rFonts w:ascii="Arial" w:hAnsi="Arial" w:cs="Arial"/>
          <w:sz w:val="20"/>
          <w:lang w:val="en-US"/>
        </w:rPr>
        <w:t>.</w:t>
      </w:r>
    </w:p>
    <w:p w:rsidR="00E967A7" w:rsidRPr="00B94577" w:rsidRDefault="00B94577">
      <w:pPr>
        <w:pStyle w:val="a7"/>
        <w:numPr>
          <w:ilvl w:val="0"/>
          <w:numId w:val="3"/>
        </w:numPr>
        <w:jc w:val="both"/>
        <w:rPr>
          <w:rFonts w:ascii="Arial" w:hAnsi="Arial" w:cs="Arial"/>
          <w:sz w:val="20"/>
          <w:lang w:val="en-US"/>
        </w:rPr>
      </w:pPr>
      <w:r w:rsidRPr="00B94577">
        <w:rPr>
          <w:rFonts w:ascii="Arial" w:hAnsi="Arial" w:cs="Arial"/>
          <w:sz w:val="20"/>
          <w:lang w:val="en-US"/>
        </w:rPr>
        <w:t>Information about current best quotes</w:t>
      </w:r>
      <w:r w:rsidR="00E967A7" w:rsidRPr="00B94577">
        <w:rPr>
          <w:rFonts w:ascii="Arial" w:hAnsi="Arial" w:cs="Arial"/>
          <w:sz w:val="20"/>
          <w:lang w:val="en-US"/>
        </w:rPr>
        <w:t xml:space="preserve">. </w:t>
      </w:r>
    </w:p>
    <w:p w:rsidR="00B94577" w:rsidRPr="00B94577" w:rsidRDefault="00B94577" w:rsidP="00B94577">
      <w:pPr>
        <w:keepNext/>
        <w:numPr>
          <w:ilvl w:val="0"/>
          <w:numId w:val="5"/>
        </w:numPr>
        <w:spacing w:before="284" w:after="240"/>
        <w:rPr>
          <w:rFonts w:ascii="Arial" w:hAnsi="Arial" w:cs="Arial"/>
          <w:b/>
          <w:bCs/>
          <w:sz w:val="20"/>
          <w:lang w:val="en-US"/>
        </w:rPr>
      </w:pPr>
      <w:r w:rsidRPr="00B94577">
        <w:rPr>
          <w:rFonts w:ascii="Arial" w:hAnsi="Arial" w:cs="Arial"/>
          <w:b/>
          <w:bCs/>
          <w:sz w:val="20"/>
          <w:lang w:val="en-US"/>
        </w:rPr>
        <w:t>I-th</w:t>
      </w:r>
      <w:r w:rsidRPr="00B94577">
        <w:rPr>
          <w:rFonts w:ascii="Arial" w:hAnsi="Arial" w:cs="Arial"/>
          <w:b/>
          <w:bCs/>
          <w:i/>
          <w:iCs/>
          <w:sz w:val="20"/>
          <w:lang w:val="en-US"/>
        </w:rPr>
        <w:t xml:space="preserve"> </w:t>
      </w:r>
      <w:r w:rsidRPr="00B94577">
        <w:rPr>
          <w:rFonts w:ascii="Arial" w:hAnsi="Arial" w:cs="Arial"/>
          <w:b/>
          <w:bCs/>
          <w:sz w:val="20"/>
          <w:lang w:val="en-US"/>
        </w:rPr>
        <w:t>stock price calculation (Pi)</w:t>
      </w:r>
    </w:p>
    <w:p w:rsidR="00E967A7" w:rsidRPr="00B94577" w:rsidRDefault="00B94577">
      <w:pPr>
        <w:pStyle w:val="a7"/>
        <w:jc w:val="both"/>
        <w:rPr>
          <w:rFonts w:ascii="Arial" w:hAnsi="Arial" w:cs="Arial"/>
          <w:sz w:val="20"/>
          <w:lang w:val="en-US"/>
        </w:rPr>
      </w:pPr>
      <w:r>
        <w:rPr>
          <w:rFonts w:ascii="Arial" w:hAnsi="Arial" w:cs="Arial"/>
          <w:sz w:val="20"/>
          <w:lang w:val="en-US"/>
        </w:rPr>
        <w:t>The</w:t>
      </w:r>
      <w:r w:rsidRPr="00B94577">
        <w:rPr>
          <w:rFonts w:ascii="Arial" w:hAnsi="Arial" w:cs="Arial"/>
          <w:sz w:val="20"/>
          <w:lang w:val="en-US"/>
        </w:rPr>
        <w:t xml:space="preserve"> </w:t>
      </w:r>
      <w:r>
        <w:rPr>
          <w:rFonts w:ascii="Arial" w:hAnsi="Arial" w:cs="Arial"/>
          <w:sz w:val="20"/>
          <w:lang w:val="en-US"/>
        </w:rPr>
        <w:t>security</w:t>
      </w:r>
      <w:r w:rsidRPr="00B94577">
        <w:rPr>
          <w:rFonts w:ascii="Arial" w:hAnsi="Arial" w:cs="Arial"/>
          <w:sz w:val="20"/>
          <w:lang w:val="en-US"/>
        </w:rPr>
        <w:t xml:space="preserve"> </w:t>
      </w:r>
      <w:r>
        <w:rPr>
          <w:rFonts w:ascii="Arial" w:hAnsi="Arial" w:cs="Arial"/>
          <w:sz w:val="20"/>
          <w:lang w:val="en-US"/>
        </w:rPr>
        <w:t>price</w:t>
      </w:r>
      <w:r w:rsidR="00E967A7" w:rsidRPr="00B94577">
        <w:rPr>
          <w:rFonts w:ascii="Arial" w:hAnsi="Arial" w:cs="Arial"/>
          <w:sz w:val="20"/>
          <w:lang w:val="en-US"/>
        </w:rPr>
        <w:t xml:space="preserve"> </w:t>
      </w:r>
      <w:r w:rsidR="00E967A7">
        <w:rPr>
          <w:rFonts w:ascii="Arial" w:hAnsi="Arial" w:cs="Arial"/>
          <w:b/>
          <w:iCs/>
          <w:sz w:val="20"/>
          <w:lang w:val="en-US"/>
        </w:rPr>
        <w:t>P</w:t>
      </w:r>
      <w:r w:rsidR="00E967A7">
        <w:rPr>
          <w:rFonts w:ascii="Arial" w:hAnsi="Arial" w:cs="Arial"/>
          <w:b/>
          <w:iCs/>
          <w:sz w:val="20"/>
          <w:vertAlign w:val="subscript"/>
          <w:lang w:val="en-US"/>
        </w:rPr>
        <w:t>i</w:t>
      </w:r>
      <w:r w:rsidR="00E967A7" w:rsidRPr="00B94577">
        <w:rPr>
          <w:rFonts w:ascii="Arial" w:hAnsi="Arial" w:cs="Arial"/>
          <w:b/>
          <w:iCs/>
          <w:sz w:val="20"/>
          <w:vertAlign w:val="subscript"/>
          <w:lang w:val="en-US"/>
        </w:rPr>
        <w:t xml:space="preserve"> </w:t>
      </w:r>
      <w:r>
        <w:rPr>
          <w:rFonts w:ascii="Arial" w:hAnsi="Arial" w:cs="Arial"/>
          <w:sz w:val="20"/>
          <w:lang w:val="en-US"/>
        </w:rPr>
        <w:t>equals the price of the last trade as of the moment of calculating the UX Index.</w:t>
      </w:r>
    </w:p>
    <w:p w:rsidR="00E967A7" w:rsidRPr="008E4CB0" w:rsidRDefault="008E4CB0">
      <w:pPr>
        <w:pStyle w:val="a7"/>
        <w:jc w:val="both"/>
        <w:rPr>
          <w:rFonts w:ascii="Arial" w:hAnsi="Arial" w:cs="Arial"/>
          <w:sz w:val="20"/>
          <w:lang w:val="en-US"/>
        </w:rPr>
      </w:pPr>
      <w:r>
        <w:rPr>
          <w:rFonts w:ascii="Arial" w:hAnsi="Arial" w:cs="Arial"/>
          <w:sz w:val="20"/>
          <w:lang w:val="en-US"/>
        </w:rPr>
        <w:t>If</w:t>
      </w:r>
      <w:r w:rsidRPr="008E4CB0">
        <w:rPr>
          <w:rFonts w:ascii="Arial" w:hAnsi="Arial" w:cs="Arial"/>
          <w:sz w:val="20"/>
          <w:lang w:val="en-US"/>
        </w:rPr>
        <w:t xml:space="preserve"> </w:t>
      </w:r>
      <w:r>
        <w:rPr>
          <w:rFonts w:ascii="Arial" w:hAnsi="Arial" w:cs="Arial"/>
          <w:sz w:val="20"/>
          <w:lang w:val="en-US"/>
        </w:rPr>
        <w:t>at</w:t>
      </w:r>
      <w:r w:rsidRPr="008E4CB0">
        <w:rPr>
          <w:rFonts w:ascii="Arial" w:hAnsi="Arial" w:cs="Arial"/>
          <w:sz w:val="20"/>
          <w:lang w:val="en-US"/>
        </w:rPr>
        <w:t xml:space="preserve"> </w:t>
      </w:r>
      <w:r>
        <w:rPr>
          <w:rFonts w:ascii="Arial" w:hAnsi="Arial" w:cs="Arial"/>
          <w:sz w:val="20"/>
          <w:lang w:val="en-US"/>
        </w:rPr>
        <w:t>the</w:t>
      </w:r>
      <w:r w:rsidRPr="008E4CB0">
        <w:rPr>
          <w:rFonts w:ascii="Arial" w:hAnsi="Arial" w:cs="Arial"/>
          <w:sz w:val="20"/>
          <w:lang w:val="en-US"/>
        </w:rPr>
        <w:t xml:space="preserve"> </w:t>
      </w:r>
      <w:r>
        <w:rPr>
          <w:rFonts w:ascii="Arial" w:hAnsi="Arial" w:cs="Arial"/>
          <w:sz w:val="20"/>
          <w:lang w:val="en-US"/>
        </w:rPr>
        <w:t>moment</w:t>
      </w:r>
      <w:r w:rsidRPr="008E4CB0">
        <w:rPr>
          <w:rFonts w:ascii="Arial" w:hAnsi="Arial" w:cs="Arial"/>
          <w:sz w:val="20"/>
          <w:lang w:val="en-US"/>
        </w:rPr>
        <w:t xml:space="preserve"> </w:t>
      </w:r>
      <w:r>
        <w:rPr>
          <w:rFonts w:ascii="Arial" w:hAnsi="Arial" w:cs="Arial"/>
          <w:sz w:val="20"/>
          <w:lang w:val="en-US"/>
        </w:rPr>
        <w:t>of</w:t>
      </w:r>
      <w:r w:rsidRPr="008E4CB0">
        <w:rPr>
          <w:rFonts w:ascii="Arial" w:hAnsi="Arial" w:cs="Arial"/>
          <w:sz w:val="20"/>
          <w:lang w:val="en-US"/>
        </w:rPr>
        <w:t xml:space="preserve"> </w:t>
      </w:r>
      <w:r>
        <w:rPr>
          <w:rFonts w:ascii="Arial" w:hAnsi="Arial" w:cs="Arial"/>
          <w:sz w:val="20"/>
          <w:lang w:val="en-US"/>
        </w:rPr>
        <w:t>UX</w:t>
      </w:r>
      <w:r w:rsidRPr="008E4CB0">
        <w:rPr>
          <w:rFonts w:ascii="Arial" w:hAnsi="Arial" w:cs="Arial"/>
          <w:sz w:val="20"/>
          <w:lang w:val="en-US"/>
        </w:rPr>
        <w:t xml:space="preserve"> </w:t>
      </w:r>
      <w:r>
        <w:rPr>
          <w:rFonts w:ascii="Arial" w:hAnsi="Arial" w:cs="Arial"/>
          <w:sz w:val="20"/>
          <w:lang w:val="en-US"/>
        </w:rPr>
        <w:t>Index</w:t>
      </w:r>
      <w:r w:rsidRPr="008E4CB0">
        <w:rPr>
          <w:rFonts w:ascii="Arial" w:hAnsi="Arial" w:cs="Arial"/>
          <w:sz w:val="20"/>
          <w:lang w:val="en-US"/>
        </w:rPr>
        <w:t xml:space="preserve"> </w:t>
      </w:r>
      <w:r>
        <w:rPr>
          <w:rFonts w:ascii="Arial" w:hAnsi="Arial" w:cs="Arial"/>
          <w:sz w:val="20"/>
          <w:lang w:val="en-US"/>
        </w:rPr>
        <w:t>calculation</w:t>
      </w:r>
      <w:r w:rsidRPr="008E4CB0">
        <w:rPr>
          <w:rFonts w:ascii="Arial" w:hAnsi="Arial" w:cs="Arial"/>
          <w:sz w:val="20"/>
          <w:lang w:val="en-US"/>
        </w:rPr>
        <w:t xml:space="preserve"> </w:t>
      </w:r>
      <w:r>
        <w:rPr>
          <w:rFonts w:ascii="Arial" w:hAnsi="Arial" w:cs="Arial"/>
          <w:sz w:val="20"/>
          <w:lang w:val="en-US"/>
        </w:rPr>
        <w:t>the</w:t>
      </w:r>
      <w:r w:rsidRPr="008E4CB0">
        <w:rPr>
          <w:rFonts w:ascii="Arial" w:hAnsi="Arial" w:cs="Arial"/>
          <w:sz w:val="20"/>
          <w:lang w:val="en-US"/>
        </w:rPr>
        <w:t xml:space="preserve"> </w:t>
      </w:r>
      <w:r>
        <w:rPr>
          <w:rFonts w:ascii="Arial" w:hAnsi="Arial" w:cs="Arial"/>
          <w:sz w:val="20"/>
          <w:lang w:val="en-US"/>
        </w:rPr>
        <w:t>price</w:t>
      </w:r>
      <w:r w:rsidRPr="008E4CB0">
        <w:rPr>
          <w:rFonts w:ascii="Arial" w:hAnsi="Arial" w:cs="Arial"/>
          <w:sz w:val="20"/>
          <w:lang w:val="en-US"/>
        </w:rPr>
        <w:t xml:space="preserve"> </w:t>
      </w:r>
      <w:r>
        <w:rPr>
          <w:rFonts w:ascii="Arial" w:hAnsi="Arial" w:cs="Arial"/>
          <w:sz w:val="20"/>
          <w:lang w:val="en-US"/>
        </w:rPr>
        <w:t>of</w:t>
      </w:r>
      <w:r w:rsidRPr="008E4CB0">
        <w:rPr>
          <w:rFonts w:ascii="Arial" w:hAnsi="Arial" w:cs="Arial"/>
          <w:sz w:val="20"/>
          <w:lang w:val="en-US"/>
        </w:rPr>
        <w:t xml:space="preserve"> </w:t>
      </w:r>
      <w:r>
        <w:rPr>
          <w:rFonts w:ascii="Arial" w:hAnsi="Arial" w:cs="Arial"/>
          <w:sz w:val="20"/>
          <w:lang w:val="en-US"/>
        </w:rPr>
        <w:t>a</w:t>
      </w:r>
      <w:r w:rsidRPr="008E4CB0">
        <w:rPr>
          <w:rFonts w:ascii="Arial" w:hAnsi="Arial" w:cs="Arial"/>
          <w:sz w:val="20"/>
          <w:lang w:val="en-US"/>
        </w:rPr>
        <w:t xml:space="preserve"> </w:t>
      </w:r>
      <w:r>
        <w:rPr>
          <w:rFonts w:ascii="Arial" w:hAnsi="Arial" w:cs="Arial"/>
          <w:sz w:val="20"/>
          <w:lang w:val="en-US"/>
        </w:rPr>
        <w:t>security</w:t>
      </w:r>
      <w:r w:rsidRPr="008E4CB0">
        <w:rPr>
          <w:rFonts w:ascii="Arial" w:hAnsi="Arial" w:cs="Arial"/>
          <w:sz w:val="20"/>
          <w:lang w:val="en-US"/>
        </w:rPr>
        <w:t xml:space="preserve"> </w:t>
      </w:r>
      <w:r>
        <w:rPr>
          <w:rFonts w:ascii="Arial" w:hAnsi="Arial" w:cs="Arial"/>
          <w:sz w:val="20"/>
          <w:lang w:val="en-US"/>
        </w:rPr>
        <w:t>goes</w:t>
      </w:r>
      <w:r w:rsidRPr="008E4CB0">
        <w:rPr>
          <w:rFonts w:ascii="Arial" w:hAnsi="Arial" w:cs="Arial"/>
          <w:sz w:val="20"/>
          <w:lang w:val="en-US"/>
        </w:rPr>
        <w:t xml:space="preserve"> </w:t>
      </w:r>
      <w:r>
        <w:rPr>
          <w:rFonts w:ascii="Arial" w:hAnsi="Arial" w:cs="Arial"/>
          <w:sz w:val="20"/>
          <w:lang w:val="en-US"/>
        </w:rPr>
        <w:t>outside</w:t>
      </w:r>
      <w:r w:rsidRPr="008E4CB0">
        <w:rPr>
          <w:rFonts w:ascii="Arial" w:hAnsi="Arial" w:cs="Arial"/>
          <w:sz w:val="20"/>
          <w:lang w:val="en-US"/>
        </w:rPr>
        <w:t xml:space="preserve"> </w:t>
      </w:r>
      <w:r>
        <w:rPr>
          <w:rFonts w:ascii="Arial" w:hAnsi="Arial" w:cs="Arial"/>
          <w:sz w:val="20"/>
          <w:lang w:val="en-US"/>
        </w:rPr>
        <w:t>the</w:t>
      </w:r>
      <w:r w:rsidRPr="008E4CB0">
        <w:rPr>
          <w:rFonts w:ascii="Arial" w:hAnsi="Arial" w:cs="Arial"/>
          <w:sz w:val="20"/>
          <w:lang w:val="en-US"/>
        </w:rPr>
        <w:t xml:space="preserve"> </w:t>
      </w:r>
      <w:r>
        <w:rPr>
          <w:rFonts w:ascii="Arial" w:hAnsi="Arial" w:cs="Arial"/>
          <w:sz w:val="20"/>
          <w:lang w:val="en-US"/>
        </w:rPr>
        <w:t>range</w:t>
      </w:r>
      <w:r w:rsidRPr="008E4CB0">
        <w:rPr>
          <w:rFonts w:ascii="Arial" w:hAnsi="Arial" w:cs="Arial"/>
          <w:sz w:val="20"/>
          <w:lang w:val="en-US"/>
        </w:rPr>
        <w:t xml:space="preserve"> </w:t>
      </w:r>
      <w:r>
        <w:rPr>
          <w:rFonts w:ascii="Arial" w:hAnsi="Arial" w:cs="Arial"/>
          <w:sz w:val="20"/>
          <w:lang w:val="en-US"/>
        </w:rPr>
        <w:t>of</w:t>
      </w:r>
      <w:r w:rsidRPr="008E4CB0">
        <w:rPr>
          <w:rFonts w:ascii="Arial" w:hAnsi="Arial" w:cs="Arial"/>
          <w:sz w:val="20"/>
          <w:lang w:val="en-US"/>
        </w:rPr>
        <w:t xml:space="preserve"> </w:t>
      </w:r>
      <w:r>
        <w:rPr>
          <w:rFonts w:ascii="Arial" w:hAnsi="Arial" w:cs="Arial"/>
          <w:sz w:val="20"/>
          <w:lang w:val="en-US"/>
        </w:rPr>
        <w:t>prices</w:t>
      </w:r>
      <w:r w:rsidRPr="008E4CB0">
        <w:rPr>
          <w:rFonts w:ascii="Arial" w:hAnsi="Arial" w:cs="Arial"/>
          <w:sz w:val="20"/>
          <w:lang w:val="en-US"/>
        </w:rPr>
        <w:t xml:space="preserve"> </w:t>
      </w:r>
      <w:r>
        <w:rPr>
          <w:rFonts w:ascii="Arial" w:hAnsi="Arial" w:cs="Arial"/>
          <w:sz w:val="20"/>
          <w:lang w:val="en-US"/>
        </w:rPr>
        <w:t xml:space="preserve">between the best bid and the best ask, then the price of a security </w:t>
      </w:r>
      <w:r w:rsidR="00E967A7">
        <w:rPr>
          <w:rFonts w:ascii="Arial" w:hAnsi="Arial" w:cs="Arial"/>
          <w:b/>
          <w:iCs/>
          <w:sz w:val="20"/>
          <w:lang w:val="en-US"/>
        </w:rPr>
        <w:t>P</w:t>
      </w:r>
      <w:r w:rsidR="00E967A7">
        <w:rPr>
          <w:rFonts w:ascii="Arial" w:hAnsi="Arial" w:cs="Arial"/>
          <w:b/>
          <w:iCs/>
          <w:sz w:val="20"/>
          <w:vertAlign w:val="subscript"/>
          <w:lang w:val="en-US"/>
        </w:rPr>
        <w:t>i</w:t>
      </w:r>
      <w:r w:rsidR="00E967A7" w:rsidRPr="008E4CB0">
        <w:rPr>
          <w:rFonts w:ascii="Arial" w:hAnsi="Arial" w:cs="Arial"/>
          <w:b/>
          <w:iCs/>
          <w:sz w:val="20"/>
          <w:vertAlign w:val="subscript"/>
          <w:lang w:val="en-US"/>
        </w:rPr>
        <w:t xml:space="preserve"> </w:t>
      </w:r>
      <w:r>
        <w:rPr>
          <w:rFonts w:ascii="Arial" w:hAnsi="Arial" w:cs="Arial"/>
          <w:sz w:val="20"/>
          <w:lang w:val="en-US"/>
        </w:rPr>
        <w:t>is determined with the best bid and the best ask taken into account</w:t>
      </w:r>
      <w:r w:rsidR="00E967A7" w:rsidRPr="008E4CB0">
        <w:rPr>
          <w:rFonts w:ascii="Arial" w:hAnsi="Arial" w:cs="Arial"/>
          <w:sz w:val="20"/>
          <w:lang w:val="en-US"/>
        </w:rPr>
        <w:t>:</w:t>
      </w:r>
    </w:p>
    <w:p w:rsidR="00E967A7" w:rsidRPr="008E4CB0" w:rsidRDefault="008E4CB0">
      <w:pPr>
        <w:pStyle w:val="a7"/>
        <w:numPr>
          <w:ilvl w:val="0"/>
          <w:numId w:val="6"/>
        </w:numPr>
        <w:jc w:val="both"/>
        <w:rPr>
          <w:rFonts w:ascii="Arial" w:hAnsi="Arial" w:cs="Arial"/>
          <w:sz w:val="20"/>
          <w:lang w:val="en-US"/>
        </w:rPr>
      </w:pPr>
      <w:r>
        <w:rPr>
          <w:rFonts w:ascii="Arial" w:hAnsi="Arial" w:cs="Arial"/>
          <w:sz w:val="20"/>
          <w:lang w:val="en-US"/>
        </w:rPr>
        <w:t>If the price of the best standard bid exceeds the last calculated price of this security</w:t>
      </w:r>
      <w:r w:rsidR="00CF0DFE">
        <w:rPr>
          <w:rFonts w:ascii="Arial" w:hAnsi="Arial" w:cs="Arial"/>
          <w:sz w:val="20"/>
          <w:lang w:val="en-US"/>
        </w:rPr>
        <w:t xml:space="preserve">, the price of this security </w:t>
      </w:r>
      <w:r w:rsidR="00CF0DFE">
        <w:rPr>
          <w:rFonts w:ascii="Arial" w:hAnsi="Arial" w:cs="Arial"/>
          <w:b/>
          <w:bCs/>
          <w:sz w:val="20"/>
          <w:lang w:val="en-US"/>
        </w:rPr>
        <w:t>P</w:t>
      </w:r>
      <w:r w:rsidR="00CF0DFE">
        <w:rPr>
          <w:rFonts w:ascii="Arial" w:hAnsi="Arial" w:cs="Arial"/>
          <w:b/>
          <w:bCs/>
          <w:sz w:val="20"/>
          <w:vertAlign w:val="subscript"/>
          <w:lang w:val="en-US"/>
        </w:rPr>
        <w:t xml:space="preserve">i </w:t>
      </w:r>
      <w:r w:rsidR="00CF0DFE">
        <w:rPr>
          <w:rFonts w:ascii="Arial" w:hAnsi="Arial" w:cs="Arial"/>
          <w:sz w:val="20"/>
          <w:lang w:val="en-US"/>
        </w:rPr>
        <w:t>equals the best standard bid price</w:t>
      </w:r>
      <w:r w:rsidR="00E967A7" w:rsidRPr="008E4CB0">
        <w:rPr>
          <w:rFonts w:ascii="Arial" w:hAnsi="Arial" w:cs="Arial"/>
          <w:sz w:val="20"/>
          <w:lang w:val="en-US"/>
        </w:rPr>
        <w:t>.</w:t>
      </w:r>
    </w:p>
    <w:p w:rsidR="00E967A7" w:rsidRPr="00CF0DFE" w:rsidRDefault="00CF0DFE">
      <w:pPr>
        <w:pStyle w:val="a7"/>
        <w:numPr>
          <w:ilvl w:val="0"/>
          <w:numId w:val="6"/>
        </w:numPr>
        <w:jc w:val="both"/>
        <w:rPr>
          <w:rFonts w:ascii="Arial" w:hAnsi="Arial" w:cs="Arial"/>
          <w:sz w:val="20"/>
          <w:lang w:val="en-US"/>
        </w:rPr>
      </w:pPr>
      <w:r>
        <w:rPr>
          <w:rFonts w:ascii="Arial" w:hAnsi="Arial" w:cs="Arial"/>
          <w:sz w:val="20"/>
          <w:lang w:val="en-US"/>
        </w:rPr>
        <w:t xml:space="preserve">If the price of the best standard ask is lower than the last calculated price of this security the price of this security </w:t>
      </w:r>
      <w:r>
        <w:rPr>
          <w:rFonts w:ascii="Arial" w:hAnsi="Arial" w:cs="Arial"/>
          <w:b/>
          <w:bCs/>
          <w:sz w:val="20"/>
          <w:lang w:val="en-US"/>
        </w:rPr>
        <w:t>P</w:t>
      </w:r>
      <w:r>
        <w:rPr>
          <w:rFonts w:ascii="Arial" w:hAnsi="Arial" w:cs="Arial"/>
          <w:b/>
          <w:bCs/>
          <w:sz w:val="20"/>
          <w:vertAlign w:val="subscript"/>
          <w:lang w:val="en-US"/>
        </w:rPr>
        <w:t>i</w:t>
      </w:r>
      <w:r>
        <w:rPr>
          <w:rFonts w:ascii="Arial" w:hAnsi="Arial" w:cs="Arial"/>
          <w:b/>
          <w:bCs/>
          <w:sz w:val="20"/>
          <w:lang w:val="en-US"/>
        </w:rPr>
        <w:t xml:space="preserve"> </w:t>
      </w:r>
      <w:r>
        <w:rPr>
          <w:rFonts w:ascii="Arial" w:hAnsi="Arial" w:cs="Arial"/>
          <w:sz w:val="20"/>
          <w:lang w:val="en-US"/>
        </w:rPr>
        <w:t>equals the best standard ask price.</w:t>
      </w:r>
    </w:p>
    <w:p w:rsidR="00E967A7" w:rsidRDefault="00CF0DFE">
      <w:pPr>
        <w:keepNext/>
        <w:numPr>
          <w:ilvl w:val="0"/>
          <w:numId w:val="5"/>
        </w:numPr>
        <w:spacing w:before="284" w:after="240"/>
        <w:rPr>
          <w:rFonts w:ascii="Arial" w:hAnsi="Arial" w:cs="Arial"/>
          <w:b/>
          <w:sz w:val="20"/>
        </w:rPr>
      </w:pPr>
      <w:r>
        <w:rPr>
          <w:rFonts w:ascii="Arial" w:hAnsi="Arial" w:cs="Arial"/>
          <w:b/>
          <w:sz w:val="20"/>
          <w:lang w:val="en-US"/>
        </w:rPr>
        <w:t>Currency</w:t>
      </w:r>
    </w:p>
    <w:p w:rsidR="00E967A7" w:rsidRPr="00CF0DFE" w:rsidRDefault="00CF0DFE">
      <w:pPr>
        <w:pStyle w:val="a7"/>
        <w:spacing w:before="120"/>
        <w:jc w:val="both"/>
        <w:rPr>
          <w:rFonts w:ascii="Arial" w:hAnsi="Arial" w:cs="Arial"/>
          <w:sz w:val="20"/>
          <w:lang w:val="en-US"/>
        </w:rPr>
      </w:pPr>
      <w:r w:rsidRPr="001653DD">
        <w:rPr>
          <w:rFonts w:ascii="Arial" w:hAnsi="Arial" w:cs="Arial"/>
          <w:sz w:val="20"/>
          <w:lang w:val="en-US"/>
        </w:rPr>
        <w:t xml:space="preserve">All prices are in </w:t>
      </w:r>
      <w:r>
        <w:rPr>
          <w:rFonts w:ascii="Arial" w:hAnsi="Arial" w:cs="Arial"/>
          <w:sz w:val="20"/>
          <w:lang w:val="en-US"/>
        </w:rPr>
        <w:t>Ukrainian hryvnias.</w:t>
      </w:r>
    </w:p>
    <w:p w:rsidR="00E967A7" w:rsidRDefault="00CF0DFE">
      <w:pPr>
        <w:keepNext/>
        <w:numPr>
          <w:ilvl w:val="0"/>
          <w:numId w:val="5"/>
        </w:numPr>
        <w:spacing w:before="284" w:after="240"/>
        <w:rPr>
          <w:rFonts w:ascii="Arial" w:hAnsi="Arial" w:cs="Arial"/>
          <w:b/>
          <w:sz w:val="20"/>
        </w:rPr>
      </w:pPr>
      <w:r>
        <w:rPr>
          <w:rFonts w:ascii="Arial" w:hAnsi="Arial" w:cs="Arial"/>
          <w:b/>
          <w:sz w:val="20"/>
          <w:lang w:val="en-US"/>
        </w:rPr>
        <w:t>Information Precision</w:t>
      </w:r>
    </w:p>
    <w:p w:rsidR="00F54FD7" w:rsidRDefault="00F54FD7" w:rsidP="00F54FD7">
      <w:pPr>
        <w:pStyle w:val="a7"/>
        <w:jc w:val="both"/>
        <w:rPr>
          <w:rFonts w:ascii="Arial" w:hAnsi="Arial" w:cs="Arial"/>
          <w:sz w:val="20"/>
          <w:lang w:val="en-US"/>
        </w:rPr>
      </w:pPr>
      <w:r>
        <w:rPr>
          <w:rFonts w:ascii="Arial" w:hAnsi="Arial" w:cs="Arial"/>
          <w:sz w:val="20"/>
          <w:lang w:val="en-US"/>
        </w:rPr>
        <w:t xml:space="preserve">Index values are calculated accurate to 2 decimal places. Prices are calculated with 5 decimal places accuracy, adjusting coefficient </w:t>
      </w:r>
      <w:r>
        <w:rPr>
          <w:rFonts w:ascii="Arial" w:hAnsi="Arial" w:cs="Arial"/>
          <w:b/>
          <w:bCs/>
          <w:sz w:val="20"/>
          <w:lang w:val="en-US"/>
        </w:rPr>
        <w:t>Z</w:t>
      </w:r>
      <w:r>
        <w:rPr>
          <w:rFonts w:ascii="Arial" w:hAnsi="Arial" w:cs="Arial"/>
          <w:b/>
          <w:bCs/>
          <w:sz w:val="20"/>
          <w:vertAlign w:val="subscript"/>
          <w:lang w:val="en-US"/>
        </w:rPr>
        <w:t>n</w:t>
      </w:r>
      <w:r>
        <w:rPr>
          <w:rFonts w:ascii="Arial" w:hAnsi="Arial" w:cs="Arial"/>
          <w:sz w:val="20"/>
          <w:lang w:val="en-US"/>
        </w:rPr>
        <w:t xml:space="preserve"> – 7 decimal places, free-float coefficient </w:t>
      </w:r>
      <w:r>
        <w:rPr>
          <w:rFonts w:ascii="Arial" w:hAnsi="Arial" w:cs="Arial"/>
          <w:b/>
          <w:bCs/>
          <w:sz w:val="20"/>
          <w:lang w:val="en-US"/>
        </w:rPr>
        <w:t>W</w:t>
      </w:r>
      <w:r>
        <w:rPr>
          <w:rFonts w:ascii="Arial" w:hAnsi="Arial" w:cs="Arial"/>
          <w:b/>
          <w:bCs/>
          <w:sz w:val="20"/>
          <w:vertAlign w:val="subscript"/>
          <w:lang w:val="en-US"/>
        </w:rPr>
        <w:t>i</w:t>
      </w:r>
      <w:r>
        <w:rPr>
          <w:rFonts w:ascii="Arial" w:hAnsi="Arial" w:cs="Arial"/>
          <w:sz w:val="20"/>
          <w:lang w:val="en-US"/>
        </w:rPr>
        <w:t xml:space="preserve"> – 2 decimal places, restricting coefficient </w:t>
      </w:r>
      <w:r>
        <w:rPr>
          <w:rFonts w:ascii="Arial" w:hAnsi="Arial" w:cs="Arial"/>
          <w:b/>
          <w:bCs/>
          <w:sz w:val="20"/>
          <w:lang w:val="en-US"/>
        </w:rPr>
        <w:t>C</w:t>
      </w:r>
      <w:r>
        <w:rPr>
          <w:rFonts w:ascii="Arial" w:hAnsi="Arial" w:cs="Arial"/>
          <w:b/>
          <w:bCs/>
          <w:sz w:val="20"/>
          <w:vertAlign w:val="subscript"/>
          <w:lang w:val="en-US"/>
        </w:rPr>
        <w:t>i</w:t>
      </w:r>
      <w:r>
        <w:rPr>
          <w:rFonts w:ascii="Arial" w:hAnsi="Arial" w:cs="Arial"/>
          <w:sz w:val="20"/>
          <w:lang w:val="en-US"/>
        </w:rPr>
        <w:t xml:space="preserve"> – 7 decimal places.</w:t>
      </w:r>
    </w:p>
    <w:p w:rsidR="00E967A7" w:rsidRDefault="00F54FD7">
      <w:pPr>
        <w:keepNext/>
        <w:numPr>
          <w:ilvl w:val="0"/>
          <w:numId w:val="5"/>
        </w:numPr>
        <w:spacing w:before="284" w:after="240"/>
        <w:rPr>
          <w:rFonts w:ascii="Arial" w:hAnsi="Arial" w:cs="Arial"/>
          <w:b/>
          <w:sz w:val="20"/>
        </w:rPr>
      </w:pPr>
      <w:r>
        <w:rPr>
          <w:rFonts w:ascii="Arial" w:hAnsi="Arial" w:cs="Arial"/>
          <w:b/>
          <w:sz w:val="20"/>
          <w:lang w:val="en-US"/>
        </w:rPr>
        <w:t>Constituent Stocks</w:t>
      </w:r>
    </w:p>
    <w:p w:rsidR="00F54FD7" w:rsidRPr="00F54FD7" w:rsidRDefault="00F54FD7">
      <w:pPr>
        <w:pStyle w:val="a7"/>
        <w:jc w:val="both"/>
        <w:rPr>
          <w:rFonts w:ascii="Arial" w:hAnsi="Arial" w:cs="Arial"/>
          <w:sz w:val="20"/>
          <w:lang w:val="en-US"/>
        </w:rPr>
      </w:pPr>
      <w:r w:rsidRPr="001653DD">
        <w:rPr>
          <w:rFonts w:ascii="Arial" w:hAnsi="Arial" w:cs="Arial"/>
          <w:sz w:val="20"/>
          <w:lang w:val="en-US"/>
        </w:rPr>
        <w:t>The</w:t>
      </w:r>
      <w:r w:rsidRPr="00F54FD7">
        <w:rPr>
          <w:rFonts w:ascii="Arial" w:hAnsi="Arial" w:cs="Arial"/>
          <w:sz w:val="20"/>
          <w:lang w:val="en-US"/>
        </w:rPr>
        <w:t xml:space="preserve"> </w:t>
      </w:r>
      <w:r w:rsidRPr="001653DD">
        <w:rPr>
          <w:rFonts w:ascii="Arial" w:hAnsi="Arial" w:cs="Arial"/>
          <w:sz w:val="20"/>
          <w:lang w:val="en-US"/>
        </w:rPr>
        <w:t>list</w:t>
      </w:r>
      <w:r w:rsidRPr="00F54FD7">
        <w:rPr>
          <w:rFonts w:ascii="Arial" w:hAnsi="Arial" w:cs="Arial"/>
          <w:sz w:val="20"/>
          <w:lang w:val="en-US"/>
        </w:rPr>
        <w:t xml:space="preserve"> </w:t>
      </w:r>
      <w:r w:rsidRPr="001653DD">
        <w:rPr>
          <w:rFonts w:ascii="Arial" w:hAnsi="Arial" w:cs="Arial"/>
          <w:sz w:val="20"/>
          <w:lang w:val="en-US"/>
        </w:rPr>
        <w:t>of</w:t>
      </w:r>
      <w:r w:rsidRPr="00F54FD7">
        <w:rPr>
          <w:rFonts w:ascii="Arial" w:hAnsi="Arial" w:cs="Arial"/>
          <w:sz w:val="20"/>
          <w:lang w:val="en-US"/>
        </w:rPr>
        <w:t xml:space="preserve"> </w:t>
      </w:r>
      <w:r w:rsidRPr="001653DD">
        <w:rPr>
          <w:rFonts w:ascii="Arial" w:hAnsi="Arial" w:cs="Arial"/>
          <w:sz w:val="20"/>
          <w:lang w:val="en-US"/>
        </w:rPr>
        <w:t>securities</w:t>
      </w:r>
      <w:r w:rsidRPr="00F54FD7">
        <w:rPr>
          <w:rFonts w:ascii="Arial" w:hAnsi="Arial" w:cs="Arial"/>
          <w:sz w:val="20"/>
          <w:lang w:val="en-US"/>
        </w:rPr>
        <w:t xml:space="preserve"> - </w:t>
      </w:r>
      <w:r w:rsidRPr="001653DD">
        <w:rPr>
          <w:rFonts w:ascii="Arial" w:hAnsi="Arial" w:cs="Arial"/>
          <w:sz w:val="20"/>
          <w:lang w:val="en-US"/>
        </w:rPr>
        <w:t>Index</w:t>
      </w:r>
      <w:r w:rsidRPr="00F54FD7">
        <w:rPr>
          <w:rFonts w:ascii="Arial" w:hAnsi="Arial" w:cs="Arial"/>
          <w:sz w:val="20"/>
          <w:lang w:val="en-US"/>
        </w:rPr>
        <w:t xml:space="preserve"> </w:t>
      </w:r>
      <w:r w:rsidRPr="001653DD">
        <w:rPr>
          <w:rFonts w:ascii="Arial" w:hAnsi="Arial" w:cs="Arial"/>
          <w:sz w:val="20"/>
          <w:lang w:val="en-US"/>
        </w:rPr>
        <w:t>Constituents</w:t>
      </w:r>
      <w:r w:rsidRPr="00F54FD7">
        <w:rPr>
          <w:rFonts w:ascii="Arial" w:hAnsi="Arial" w:cs="Arial"/>
          <w:sz w:val="20"/>
          <w:lang w:val="en-US"/>
        </w:rPr>
        <w:t xml:space="preserve"> </w:t>
      </w:r>
      <w:r w:rsidRPr="001653DD">
        <w:rPr>
          <w:rFonts w:ascii="Arial" w:hAnsi="Arial" w:cs="Arial"/>
          <w:sz w:val="20"/>
          <w:lang w:val="en-US"/>
        </w:rPr>
        <w:t>is</w:t>
      </w:r>
      <w:r w:rsidRPr="00F54FD7">
        <w:rPr>
          <w:rFonts w:ascii="Arial" w:hAnsi="Arial" w:cs="Arial"/>
          <w:sz w:val="20"/>
          <w:lang w:val="en-US"/>
        </w:rPr>
        <w:t xml:space="preserve"> </w:t>
      </w:r>
      <w:r w:rsidRPr="001653DD">
        <w:rPr>
          <w:rFonts w:ascii="Arial" w:hAnsi="Arial" w:cs="Arial"/>
          <w:sz w:val="20"/>
          <w:lang w:val="en-US"/>
        </w:rPr>
        <w:t>comprised</w:t>
      </w:r>
      <w:r w:rsidRPr="00F54FD7">
        <w:rPr>
          <w:rFonts w:ascii="Arial" w:hAnsi="Arial" w:cs="Arial"/>
          <w:sz w:val="20"/>
          <w:lang w:val="en-US"/>
        </w:rPr>
        <w:t xml:space="preserve"> </w:t>
      </w:r>
      <w:r w:rsidRPr="001653DD">
        <w:rPr>
          <w:rFonts w:ascii="Arial" w:hAnsi="Arial" w:cs="Arial"/>
          <w:sz w:val="20"/>
          <w:lang w:val="en-US"/>
        </w:rPr>
        <w:t>of</w:t>
      </w:r>
      <w:r w:rsidRPr="00F54FD7">
        <w:rPr>
          <w:rFonts w:ascii="Arial" w:hAnsi="Arial" w:cs="Arial"/>
          <w:sz w:val="20"/>
          <w:lang w:val="en-US"/>
        </w:rPr>
        <w:t xml:space="preserve"> </w:t>
      </w:r>
      <w:r w:rsidRPr="001653DD">
        <w:rPr>
          <w:rFonts w:ascii="Arial" w:hAnsi="Arial" w:cs="Arial"/>
          <w:sz w:val="20"/>
          <w:lang w:val="en-US"/>
        </w:rPr>
        <w:t>the</w:t>
      </w:r>
      <w:r w:rsidRPr="00F54FD7">
        <w:rPr>
          <w:rFonts w:ascii="Arial" w:hAnsi="Arial" w:cs="Arial"/>
          <w:sz w:val="20"/>
          <w:lang w:val="en-US"/>
        </w:rPr>
        <w:t xml:space="preserve"> </w:t>
      </w:r>
      <w:r w:rsidRPr="001653DD">
        <w:rPr>
          <w:rFonts w:ascii="Arial" w:hAnsi="Arial" w:cs="Arial"/>
          <w:sz w:val="20"/>
          <w:lang w:val="en-US"/>
        </w:rPr>
        <w:t>most</w:t>
      </w:r>
      <w:r w:rsidRPr="00F54FD7">
        <w:rPr>
          <w:rFonts w:ascii="Arial" w:hAnsi="Arial" w:cs="Arial"/>
          <w:sz w:val="20"/>
          <w:lang w:val="en-US"/>
        </w:rPr>
        <w:t xml:space="preserve"> </w:t>
      </w:r>
      <w:r w:rsidRPr="001653DD">
        <w:rPr>
          <w:rFonts w:ascii="Arial" w:hAnsi="Arial" w:cs="Arial"/>
          <w:sz w:val="20"/>
          <w:lang w:val="en-US"/>
        </w:rPr>
        <w:t>liquid</w:t>
      </w:r>
      <w:r w:rsidRPr="00F54FD7">
        <w:rPr>
          <w:rFonts w:ascii="Arial" w:hAnsi="Arial" w:cs="Arial"/>
          <w:sz w:val="20"/>
          <w:lang w:val="en-US"/>
        </w:rPr>
        <w:t xml:space="preserve"> </w:t>
      </w:r>
      <w:r w:rsidRPr="001653DD">
        <w:rPr>
          <w:rFonts w:ascii="Arial" w:hAnsi="Arial" w:cs="Arial"/>
          <w:sz w:val="20"/>
          <w:lang w:val="en-US"/>
        </w:rPr>
        <w:t>stocks</w:t>
      </w:r>
      <w:r w:rsidRPr="00F54FD7">
        <w:rPr>
          <w:rFonts w:ascii="Arial" w:hAnsi="Arial" w:cs="Arial"/>
          <w:sz w:val="20"/>
          <w:lang w:val="en-US"/>
        </w:rPr>
        <w:t xml:space="preserve"> </w:t>
      </w:r>
      <w:r>
        <w:rPr>
          <w:rFonts w:ascii="Arial" w:hAnsi="Arial" w:cs="Arial"/>
          <w:sz w:val="20"/>
          <w:lang w:val="en-US"/>
        </w:rPr>
        <w:t>of</w:t>
      </w:r>
      <w:r w:rsidRPr="00F54FD7">
        <w:rPr>
          <w:rFonts w:ascii="Arial" w:hAnsi="Arial" w:cs="Arial"/>
          <w:sz w:val="20"/>
          <w:lang w:val="en-US"/>
        </w:rPr>
        <w:t xml:space="preserve"> </w:t>
      </w:r>
      <w:r>
        <w:rPr>
          <w:rFonts w:ascii="Arial" w:hAnsi="Arial" w:cs="Arial"/>
          <w:sz w:val="20"/>
          <w:lang w:val="en-US"/>
        </w:rPr>
        <w:t>the</w:t>
      </w:r>
      <w:r w:rsidRPr="00F54FD7">
        <w:rPr>
          <w:rFonts w:ascii="Arial" w:hAnsi="Arial" w:cs="Arial"/>
          <w:sz w:val="20"/>
          <w:lang w:val="en-US"/>
        </w:rPr>
        <w:t xml:space="preserve"> </w:t>
      </w:r>
      <w:r>
        <w:rPr>
          <w:rFonts w:ascii="Arial" w:hAnsi="Arial" w:cs="Arial"/>
          <w:sz w:val="20"/>
          <w:lang w:val="en-US"/>
        </w:rPr>
        <w:t>Ukrainian</w:t>
      </w:r>
      <w:r w:rsidRPr="00F54FD7">
        <w:rPr>
          <w:rFonts w:ascii="Arial" w:hAnsi="Arial" w:cs="Arial"/>
          <w:sz w:val="20"/>
          <w:lang w:val="en-US"/>
        </w:rPr>
        <w:t xml:space="preserve"> </w:t>
      </w:r>
      <w:r>
        <w:rPr>
          <w:rFonts w:ascii="Arial" w:hAnsi="Arial" w:cs="Arial"/>
          <w:sz w:val="20"/>
          <w:lang w:val="en-US"/>
        </w:rPr>
        <w:t>companies</w:t>
      </w:r>
      <w:r w:rsidRPr="00F54FD7">
        <w:rPr>
          <w:rFonts w:ascii="Arial" w:hAnsi="Arial" w:cs="Arial"/>
          <w:sz w:val="20"/>
          <w:lang w:val="en-US"/>
        </w:rPr>
        <w:t xml:space="preserve"> (</w:t>
      </w:r>
      <w:r>
        <w:rPr>
          <w:rFonts w:ascii="Arial" w:hAnsi="Arial" w:cs="Arial"/>
          <w:sz w:val="20"/>
          <w:lang w:val="en-US"/>
        </w:rPr>
        <w:t>no</w:t>
      </w:r>
      <w:r w:rsidRPr="00F54FD7">
        <w:rPr>
          <w:rFonts w:ascii="Arial" w:hAnsi="Arial" w:cs="Arial"/>
          <w:sz w:val="20"/>
          <w:lang w:val="en-US"/>
        </w:rPr>
        <w:t xml:space="preserve"> </w:t>
      </w:r>
      <w:r>
        <w:rPr>
          <w:rFonts w:ascii="Arial" w:hAnsi="Arial" w:cs="Arial"/>
          <w:sz w:val="20"/>
          <w:lang w:val="en-US"/>
        </w:rPr>
        <w:t>less</w:t>
      </w:r>
      <w:r w:rsidRPr="00F54FD7">
        <w:rPr>
          <w:rFonts w:ascii="Arial" w:hAnsi="Arial" w:cs="Arial"/>
          <w:sz w:val="20"/>
          <w:lang w:val="en-US"/>
        </w:rPr>
        <w:t xml:space="preserve"> </w:t>
      </w:r>
      <w:r>
        <w:rPr>
          <w:rFonts w:ascii="Arial" w:hAnsi="Arial" w:cs="Arial"/>
          <w:sz w:val="20"/>
          <w:lang w:val="en-US"/>
        </w:rPr>
        <w:t>than</w:t>
      </w:r>
      <w:r w:rsidRPr="00F54FD7">
        <w:rPr>
          <w:rFonts w:ascii="Arial" w:hAnsi="Arial" w:cs="Arial"/>
          <w:sz w:val="20"/>
          <w:lang w:val="en-US"/>
        </w:rPr>
        <w:t xml:space="preserve"> 10 </w:t>
      </w:r>
      <w:r>
        <w:rPr>
          <w:rFonts w:ascii="Arial" w:hAnsi="Arial" w:cs="Arial"/>
          <w:sz w:val="20"/>
          <w:lang w:val="en-US"/>
        </w:rPr>
        <w:t>issuers</w:t>
      </w:r>
      <w:r w:rsidRPr="00F54FD7">
        <w:rPr>
          <w:rFonts w:ascii="Arial" w:hAnsi="Arial" w:cs="Arial"/>
          <w:sz w:val="20"/>
          <w:lang w:val="en-US"/>
        </w:rPr>
        <w:t xml:space="preserve">) </w:t>
      </w:r>
      <w:r w:rsidRPr="001653DD">
        <w:rPr>
          <w:rFonts w:ascii="Arial" w:hAnsi="Arial" w:cs="Arial"/>
          <w:sz w:val="20"/>
          <w:lang w:val="en-US"/>
        </w:rPr>
        <w:t>selected</w:t>
      </w:r>
      <w:r w:rsidRPr="00F54FD7">
        <w:rPr>
          <w:rFonts w:ascii="Arial" w:hAnsi="Arial" w:cs="Arial"/>
          <w:sz w:val="20"/>
          <w:lang w:val="en-US"/>
        </w:rPr>
        <w:t xml:space="preserve">, </w:t>
      </w:r>
      <w:r w:rsidRPr="001653DD">
        <w:rPr>
          <w:rFonts w:ascii="Arial" w:hAnsi="Arial" w:cs="Arial"/>
          <w:sz w:val="20"/>
          <w:lang w:val="en-US"/>
        </w:rPr>
        <w:t>based</w:t>
      </w:r>
      <w:r w:rsidRPr="00F54FD7">
        <w:rPr>
          <w:rFonts w:ascii="Arial" w:hAnsi="Arial" w:cs="Arial"/>
          <w:sz w:val="20"/>
          <w:lang w:val="en-US"/>
        </w:rPr>
        <w:t xml:space="preserve"> </w:t>
      </w:r>
      <w:r w:rsidRPr="001653DD">
        <w:rPr>
          <w:rFonts w:ascii="Arial" w:hAnsi="Arial" w:cs="Arial"/>
          <w:sz w:val="20"/>
          <w:lang w:val="en-US"/>
        </w:rPr>
        <w:t>on</w:t>
      </w:r>
      <w:r w:rsidRPr="00F54FD7">
        <w:rPr>
          <w:rFonts w:ascii="Arial" w:hAnsi="Arial" w:cs="Arial"/>
          <w:sz w:val="20"/>
          <w:lang w:val="en-US"/>
        </w:rPr>
        <w:t xml:space="preserve"> </w:t>
      </w:r>
      <w:r w:rsidRPr="001653DD">
        <w:rPr>
          <w:rFonts w:ascii="Arial" w:hAnsi="Arial" w:cs="Arial"/>
          <w:sz w:val="20"/>
          <w:lang w:val="en-US"/>
        </w:rPr>
        <w:t>expert</w:t>
      </w:r>
      <w:r w:rsidRPr="00F54FD7">
        <w:rPr>
          <w:rFonts w:ascii="Arial" w:hAnsi="Arial" w:cs="Arial"/>
          <w:sz w:val="20"/>
          <w:lang w:val="en-US"/>
        </w:rPr>
        <w:t xml:space="preserve"> </w:t>
      </w:r>
      <w:r w:rsidRPr="001653DD">
        <w:rPr>
          <w:rFonts w:ascii="Arial" w:hAnsi="Arial" w:cs="Arial"/>
          <w:sz w:val="20"/>
          <w:lang w:val="en-US"/>
        </w:rPr>
        <w:t>evaluation</w:t>
      </w:r>
      <w:r>
        <w:rPr>
          <w:rFonts w:ascii="Arial" w:hAnsi="Arial" w:cs="Arial"/>
          <w:sz w:val="20"/>
          <w:lang w:val="en-US"/>
        </w:rPr>
        <w:t xml:space="preserve">. </w:t>
      </w:r>
    </w:p>
    <w:p w:rsidR="00F54FD7" w:rsidRDefault="00F54FD7" w:rsidP="00F54FD7">
      <w:pPr>
        <w:pStyle w:val="txt"/>
        <w:spacing w:before="120" w:beforeAutospacing="0" w:after="0" w:afterAutospacing="0"/>
        <w:jc w:val="both"/>
        <w:rPr>
          <w:color w:val="auto"/>
          <w:sz w:val="20"/>
          <w:szCs w:val="20"/>
          <w:lang w:val="en-US"/>
        </w:rPr>
      </w:pPr>
      <w:r>
        <w:rPr>
          <w:color w:val="auto"/>
          <w:sz w:val="20"/>
          <w:szCs w:val="20"/>
          <w:lang w:val="en-US"/>
        </w:rPr>
        <w:t xml:space="preserve">The stocks are selected based on the following criteria: </w:t>
      </w:r>
    </w:p>
    <w:p w:rsidR="00F54FD7" w:rsidRPr="00F54FD7" w:rsidRDefault="00F54FD7" w:rsidP="00F54FD7">
      <w:pPr>
        <w:numPr>
          <w:ilvl w:val="0"/>
          <w:numId w:val="7"/>
        </w:numPr>
        <w:spacing w:before="120"/>
        <w:jc w:val="both"/>
        <w:rPr>
          <w:rFonts w:ascii="Arial" w:hAnsi="Arial" w:cs="Arial"/>
          <w:sz w:val="20"/>
          <w:lang w:val="en-US"/>
        </w:rPr>
      </w:pPr>
      <w:r w:rsidRPr="00F54FD7">
        <w:rPr>
          <w:rFonts w:ascii="Arial" w:hAnsi="Arial" w:cs="Arial"/>
          <w:sz w:val="20"/>
          <w:lang w:val="en-US"/>
        </w:rPr>
        <w:t xml:space="preserve">trading volume; </w:t>
      </w:r>
    </w:p>
    <w:p w:rsidR="00F54FD7" w:rsidRPr="00F54FD7" w:rsidRDefault="00F54FD7" w:rsidP="00F54FD7">
      <w:pPr>
        <w:numPr>
          <w:ilvl w:val="0"/>
          <w:numId w:val="7"/>
        </w:numPr>
        <w:jc w:val="both"/>
        <w:rPr>
          <w:rFonts w:ascii="Arial" w:hAnsi="Arial" w:cs="Arial"/>
          <w:sz w:val="20"/>
          <w:lang w:val="en-US"/>
        </w:rPr>
      </w:pPr>
      <w:r w:rsidRPr="00F54FD7">
        <w:rPr>
          <w:rFonts w:ascii="Arial" w:hAnsi="Arial" w:cs="Arial"/>
          <w:sz w:val="20"/>
          <w:lang w:val="en-US"/>
        </w:rPr>
        <w:t>frequency of concluding trades;</w:t>
      </w:r>
    </w:p>
    <w:p w:rsidR="00F54FD7" w:rsidRPr="00F54FD7" w:rsidRDefault="00F54FD7" w:rsidP="00F54FD7">
      <w:pPr>
        <w:numPr>
          <w:ilvl w:val="0"/>
          <w:numId w:val="7"/>
        </w:numPr>
        <w:jc w:val="both"/>
        <w:rPr>
          <w:rFonts w:ascii="Arial" w:hAnsi="Arial" w:cs="Arial"/>
          <w:sz w:val="20"/>
          <w:lang w:val="en-US"/>
        </w:rPr>
      </w:pPr>
      <w:r w:rsidRPr="00F54FD7">
        <w:rPr>
          <w:rFonts w:ascii="Arial" w:hAnsi="Arial" w:cs="Arial"/>
          <w:sz w:val="20"/>
          <w:lang w:val="en-US"/>
        </w:rPr>
        <w:t xml:space="preserve">supply and demand; </w:t>
      </w:r>
    </w:p>
    <w:p w:rsidR="00F54FD7" w:rsidRPr="00F54FD7" w:rsidRDefault="00F54FD7" w:rsidP="00F54FD7">
      <w:pPr>
        <w:numPr>
          <w:ilvl w:val="0"/>
          <w:numId w:val="7"/>
        </w:numPr>
        <w:jc w:val="both"/>
        <w:rPr>
          <w:rFonts w:ascii="Arial" w:hAnsi="Arial" w:cs="Arial"/>
          <w:sz w:val="20"/>
          <w:lang w:val="en-US"/>
        </w:rPr>
      </w:pPr>
      <w:r w:rsidRPr="00F54FD7">
        <w:rPr>
          <w:rFonts w:ascii="Arial" w:hAnsi="Arial" w:cs="Arial"/>
          <w:sz w:val="20"/>
          <w:lang w:val="en-US"/>
        </w:rPr>
        <w:t xml:space="preserve">spreads; </w:t>
      </w:r>
    </w:p>
    <w:p w:rsidR="00F54FD7" w:rsidRPr="00F54FD7" w:rsidRDefault="00F54FD7" w:rsidP="00F54FD7">
      <w:pPr>
        <w:numPr>
          <w:ilvl w:val="0"/>
          <w:numId w:val="7"/>
        </w:numPr>
        <w:jc w:val="both"/>
        <w:rPr>
          <w:rFonts w:ascii="Arial" w:hAnsi="Arial" w:cs="Arial"/>
          <w:sz w:val="20"/>
          <w:lang w:val="en-US"/>
        </w:rPr>
      </w:pPr>
      <w:r w:rsidRPr="00F54FD7">
        <w:rPr>
          <w:rFonts w:ascii="Arial" w:hAnsi="Arial" w:cs="Arial"/>
          <w:sz w:val="20"/>
          <w:lang w:val="en-US"/>
        </w:rPr>
        <w:t xml:space="preserve">market capitalization with free-float adjustment; </w:t>
      </w:r>
    </w:p>
    <w:p w:rsidR="00F54FD7" w:rsidRPr="00F54FD7" w:rsidRDefault="00F54FD7" w:rsidP="00F54FD7">
      <w:pPr>
        <w:numPr>
          <w:ilvl w:val="0"/>
          <w:numId w:val="7"/>
        </w:numPr>
        <w:jc w:val="both"/>
        <w:rPr>
          <w:rFonts w:ascii="Arial" w:hAnsi="Arial" w:cs="Arial"/>
          <w:sz w:val="20"/>
          <w:lang w:val="en-US"/>
        </w:rPr>
      </w:pPr>
      <w:r w:rsidRPr="00F54FD7">
        <w:rPr>
          <w:rFonts w:ascii="Arial" w:hAnsi="Arial" w:cs="Arial"/>
          <w:sz w:val="20"/>
          <w:lang w:val="en-US"/>
        </w:rPr>
        <w:lastRenderedPageBreak/>
        <w:t>issuer’s industry;</w:t>
      </w:r>
    </w:p>
    <w:p w:rsidR="00F54FD7" w:rsidRPr="00F54FD7" w:rsidRDefault="00F54FD7" w:rsidP="00F54FD7">
      <w:pPr>
        <w:numPr>
          <w:ilvl w:val="0"/>
          <w:numId w:val="7"/>
        </w:numPr>
        <w:jc w:val="both"/>
        <w:rPr>
          <w:rFonts w:ascii="Arial" w:hAnsi="Arial" w:cs="Arial"/>
          <w:sz w:val="20"/>
          <w:lang w:val="en-US"/>
        </w:rPr>
      </w:pPr>
      <w:r w:rsidRPr="00F54FD7">
        <w:rPr>
          <w:rFonts w:ascii="Arial" w:hAnsi="Arial" w:cs="Arial"/>
          <w:sz w:val="20"/>
          <w:lang w:val="en-US"/>
        </w:rPr>
        <w:t xml:space="preserve">other factors affecting liquidity. </w:t>
      </w:r>
    </w:p>
    <w:p w:rsidR="00F54FD7" w:rsidRPr="00F54FD7" w:rsidRDefault="00F54FD7" w:rsidP="00F54FD7">
      <w:pPr>
        <w:pStyle w:val="a7"/>
        <w:spacing w:after="0"/>
        <w:jc w:val="both"/>
        <w:rPr>
          <w:rFonts w:ascii="Arial" w:hAnsi="Arial" w:cs="Arial"/>
          <w:sz w:val="20"/>
          <w:lang w:val="en-US"/>
        </w:rPr>
      </w:pPr>
    </w:p>
    <w:p w:rsidR="00F54FD7" w:rsidRPr="00F54FD7" w:rsidRDefault="00F54FD7" w:rsidP="00F54FD7">
      <w:pPr>
        <w:jc w:val="both"/>
        <w:rPr>
          <w:rFonts w:ascii="Arial" w:hAnsi="Arial" w:cs="Arial"/>
          <w:sz w:val="20"/>
          <w:lang w:val="en-US"/>
        </w:rPr>
      </w:pPr>
      <w:r w:rsidRPr="00F54FD7">
        <w:rPr>
          <w:rFonts w:ascii="Arial" w:hAnsi="Arial" w:cs="Arial"/>
          <w:sz w:val="20"/>
          <w:lang w:val="en-US"/>
        </w:rPr>
        <w:t xml:space="preserve">The Securities list is compiled based on trading statistics for the three previous months.  </w:t>
      </w:r>
    </w:p>
    <w:p w:rsidR="00F54FD7" w:rsidRDefault="00F54FD7" w:rsidP="00F54FD7">
      <w:pPr>
        <w:pStyle w:val="a7"/>
        <w:spacing w:before="120"/>
        <w:jc w:val="both"/>
        <w:rPr>
          <w:rFonts w:ascii="Arial" w:hAnsi="Arial" w:cs="Arial"/>
          <w:sz w:val="20"/>
          <w:lang w:val="en-US"/>
        </w:rPr>
      </w:pPr>
      <w:r>
        <w:rPr>
          <w:rFonts w:ascii="Arial" w:hAnsi="Arial" w:cs="Arial"/>
          <w:sz w:val="20"/>
          <w:lang w:val="en-US"/>
        </w:rPr>
        <w:t>Those securities are included into the Securities list, which have previously entered the list of candidates waiting to be included (further – Waiting list</w:t>
      </w:r>
      <w:r w:rsidR="003536BE" w:rsidRPr="003536BE">
        <w:rPr>
          <w:rFonts w:ascii="Arial" w:hAnsi="Arial" w:cs="Arial"/>
          <w:sz w:val="20"/>
          <w:lang w:val="en-US"/>
        </w:rPr>
        <w:t xml:space="preserve"> </w:t>
      </w:r>
      <w:r w:rsidR="003536BE" w:rsidRPr="003067D7">
        <w:rPr>
          <w:rFonts w:ascii="Arial" w:hAnsi="Arial" w:cs="Arial"/>
          <w:sz w:val="20"/>
          <w:lang w:val="en-US"/>
        </w:rPr>
        <w:t>of securities to be included into the Securities list</w:t>
      </w:r>
      <w:r>
        <w:rPr>
          <w:rFonts w:ascii="Arial" w:hAnsi="Arial" w:cs="Arial"/>
          <w:sz w:val="20"/>
          <w:lang w:val="en-US"/>
        </w:rPr>
        <w:t>). For the securities of the issuers, who have had first or second public offering, or were formed as a result of reorganization of the issuers, there can be taken a decision on their being included into the Securities list without preliminary inclusion into the Waiting list</w:t>
      </w:r>
      <w:r w:rsidR="003536BE" w:rsidRPr="003536BE">
        <w:rPr>
          <w:rFonts w:ascii="Arial" w:hAnsi="Arial" w:cs="Arial"/>
          <w:sz w:val="20"/>
          <w:lang w:val="en-US"/>
        </w:rPr>
        <w:t xml:space="preserve"> </w:t>
      </w:r>
      <w:r w:rsidR="003536BE" w:rsidRPr="003067D7">
        <w:rPr>
          <w:rFonts w:ascii="Arial" w:hAnsi="Arial" w:cs="Arial"/>
          <w:sz w:val="20"/>
          <w:lang w:val="en-US"/>
        </w:rPr>
        <w:t>of securities to be included into the Securities list</w:t>
      </w:r>
      <w:r>
        <w:rPr>
          <w:rFonts w:ascii="Arial" w:hAnsi="Arial" w:cs="Arial"/>
          <w:sz w:val="20"/>
          <w:lang w:val="en-US"/>
        </w:rPr>
        <w:t>.</w:t>
      </w:r>
    </w:p>
    <w:p w:rsidR="00E967A7" w:rsidRPr="00F54FD7" w:rsidRDefault="00F54FD7">
      <w:pPr>
        <w:pStyle w:val="a7"/>
        <w:spacing w:before="120"/>
        <w:jc w:val="both"/>
        <w:rPr>
          <w:rFonts w:ascii="Arial" w:hAnsi="Arial" w:cs="Arial"/>
          <w:sz w:val="20"/>
          <w:lang w:val="en-US"/>
        </w:rPr>
      </w:pPr>
      <w:r>
        <w:rPr>
          <w:rFonts w:ascii="Arial" w:hAnsi="Arial" w:cs="Arial"/>
          <w:sz w:val="20"/>
          <w:lang w:val="en-US"/>
        </w:rPr>
        <w:t>The securities, which previously entered the list of candidates to be excluded from the Securities list</w:t>
      </w:r>
      <w:r w:rsidR="00F72F5F" w:rsidRPr="00F72F5F">
        <w:rPr>
          <w:rFonts w:ascii="Arial" w:hAnsi="Arial" w:cs="Arial"/>
          <w:sz w:val="20"/>
          <w:lang w:val="en-US"/>
        </w:rPr>
        <w:t xml:space="preserve"> </w:t>
      </w:r>
      <w:r w:rsidR="00F72F5F">
        <w:rPr>
          <w:rFonts w:ascii="Arial" w:hAnsi="Arial" w:cs="Arial"/>
          <w:sz w:val="20"/>
          <w:lang w:val="en-US"/>
        </w:rPr>
        <w:t>(Waiting List of securities to be excluded)</w:t>
      </w:r>
      <w:r w:rsidR="005D3F08">
        <w:rPr>
          <w:rFonts w:ascii="Arial" w:hAnsi="Arial" w:cs="Arial"/>
          <w:sz w:val="20"/>
          <w:lang w:val="en-US"/>
        </w:rPr>
        <w:t xml:space="preserve">, are excluded. </w:t>
      </w:r>
      <w:r w:rsidR="007400EF">
        <w:rPr>
          <w:rFonts w:ascii="Arial" w:hAnsi="Arial" w:cs="Arial"/>
          <w:sz w:val="20"/>
          <w:lang w:val="en-US"/>
        </w:rPr>
        <w:t xml:space="preserve">For the securities of the issuers who have experienced </w:t>
      </w:r>
      <w:r w:rsidR="00F72F5F">
        <w:rPr>
          <w:rFonts w:ascii="Arial" w:hAnsi="Arial" w:cs="Arial"/>
          <w:sz w:val="20"/>
          <w:lang w:val="en-US"/>
        </w:rPr>
        <w:t xml:space="preserve">or are to experience corporate events, there can be taken a decision on their being excluded from the Securities list without preliminary inclusion into the Waiting List of securities to be excluded. </w:t>
      </w:r>
    </w:p>
    <w:p w:rsidR="00E967A7" w:rsidRPr="00F54FD7" w:rsidRDefault="00F54FD7">
      <w:pPr>
        <w:pStyle w:val="a7"/>
        <w:spacing w:before="120"/>
        <w:jc w:val="both"/>
        <w:rPr>
          <w:rFonts w:ascii="Arial" w:hAnsi="Arial" w:cs="Arial"/>
          <w:sz w:val="20"/>
          <w:lang w:val="en-US"/>
        </w:rPr>
      </w:pPr>
      <w:r>
        <w:rPr>
          <w:rFonts w:ascii="Arial" w:hAnsi="Arial" w:cs="Arial"/>
          <w:sz w:val="20"/>
          <w:lang w:val="en-US"/>
        </w:rPr>
        <w:t xml:space="preserve">The Exchange </w:t>
      </w:r>
      <w:r w:rsidR="00E04BDA">
        <w:rPr>
          <w:rFonts w:ascii="Arial" w:hAnsi="Arial" w:cs="Arial"/>
          <w:sz w:val="20"/>
          <w:lang w:val="en-US"/>
        </w:rPr>
        <w:t>publishes</w:t>
      </w:r>
      <w:r>
        <w:rPr>
          <w:rFonts w:ascii="Arial" w:hAnsi="Arial" w:cs="Arial"/>
          <w:sz w:val="20"/>
          <w:lang w:val="en-US"/>
        </w:rPr>
        <w:t xml:space="preserve"> the following information regarding the Index Committee resolutions on the corporate web-site</w:t>
      </w:r>
      <w:r w:rsidR="00E967A7" w:rsidRPr="00F54FD7">
        <w:rPr>
          <w:rFonts w:ascii="Arial" w:hAnsi="Arial" w:cs="Arial"/>
          <w:sz w:val="20"/>
          <w:lang w:val="en-US"/>
        </w:rPr>
        <w:t>:</w:t>
      </w:r>
    </w:p>
    <w:p w:rsidR="00E967A7" w:rsidRPr="00F72F5F" w:rsidRDefault="00F72F5F">
      <w:pPr>
        <w:pStyle w:val="a7"/>
        <w:numPr>
          <w:ilvl w:val="0"/>
          <w:numId w:val="4"/>
        </w:numPr>
        <w:spacing w:after="0"/>
        <w:ind w:left="714" w:hanging="357"/>
        <w:jc w:val="both"/>
        <w:rPr>
          <w:rFonts w:ascii="Arial" w:hAnsi="Arial" w:cs="Arial"/>
          <w:sz w:val="20"/>
        </w:rPr>
      </w:pPr>
      <w:r w:rsidRPr="00F72F5F">
        <w:rPr>
          <w:rFonts w:ascii="Arial" w:hAnsi="Arial" w:cs="Arial"/>
          <w:sz w:val="20"/>
          <w:lang w:val="en-US"/>
        </w:rPr>
        <w:t>the new Securities list</w:t>
      </w:r>
      <w:r w:rsidR="003067D7">
        <w:rPr>
          <w:rFonts w:ascii="Arial" w:hAnsi="Arial" w:cs="Arial"/>
          <w:sz w:val="20"/>
          <w:lang w:val="en-US"/>
        </w:rPr>
        <w:t>;</w:t>
      </w:r>
    </w:p>
    <w:p w:rsidR="00E967A7" w:rsidRPr="003067D7" w:rsidRDefault="00F72F5F">
      <w:pPr>
        <w:pStyle w:val="a7"/>
        <w:numPr>
          <w:ilvl w:val="0"/>
          <w:numId w:val="4"/>
        </w:numPr>
        <w:spacing w:after="0"/>
        <w:ind w:left="714" w:hanging="357"/>
        <w:jc w:val="both"/>
        <w:rPr>
          <w:rFonts w:ascii="Arial" w:hAnsi="Arial" w:cs="Arial"/>
          <w:sz w:val="20"/>
          <w:lang w:val="en-US"/>
        </w:rPr>
      </w:pPr>
      <w:r w:rsidRPr="003067D7">
        <w:rPr>
          <w:rFonts w:ascii="Arial" w:hAnsi="Arial" w:cs="Arial"/>
          <w:sz w:val="20"/>
          <w:lang w:val="en-US"/>
        </w:rPr>
        <w:t>the Waiting list of securities to be included into the Securities list</w:t>
      </w:r>
      <w:r w:rsidR="003067D7">
        <w:rPr>
          <w:rFonts w:ascii="Arial" w:hAnsi="Arial" w:cs="Arial"/>
          <w:sz w:val="20"/>
          <w:lang w:val="en-US"/>
        </w:rPr>
        <w:t>;</w:t>
      </w:r>
    </w:p>
    <w:p w:rsidR="00E967A7" w:rsidRPr="003067D7" w:rsidRDefault="003067D7">
      <w:pPr>
        <w:pStyle w:val="a7"/>
        <w:numPr>
          <w:ilvl w:val="0"/>
          <w:numId w:val="4"/>
        </w:numPr>
        <w:spacing w:after="0"/>
        <w:ind w:left="714" w:hanging="357"/>
        <w:jc w:val="both"/>
        <w:rPr>
          <w:rFonts w:ascii="Arial" w:hAnsi="Arial" w:cs="Arial"/>
          <w:sz w:val="20"/>
          <w:lang w:val="en-US"/>
        </w:rPr>
      </w:pPr>
      <w:r>
        <w:rPr>
          <w:rFonts w:ascii="Arial" w:hAnsi="Arial" w:cs="Arial"/>
          <w:sz w:val="20"/>
          <w:lang w:val="en-US"/>
        </w:rPr>
        <w:t>the</w:t>
      </w:r>
      <w:r w:rsidRPr="003067D7">
        <w:rPr>
          <w:rFonts w:ascii="Arial" w:hAnsi="Arial" w:cs="Arial"/>
          <w:sz w:val="20"/>
          <w:lang w:val="en-US"/>
        </w:rPr>
        <w:t xml:space="preserve"> </w:t>
      </w:r>
      <w:r>
        <w:rPr>
          <w:rFonts w:ascii="Arial" w:hAnsi="Arial" w:cs="Arial"/>
          <w:sz w:val="20"/>
          <w:lang w:val="en-US"/>
        </w:rPr>
        <w:t>Waiting</w:t>
      </w:r>
      <w:r w:rsidRPr="003067D7">
        <w:rPr>
          <w:rFonts w:ascii="Arial" w:hAnsi="Arial" w:cs="Arial"/>
          <w:sz w:val="20"/>
          <w:lang w:val="en-US"/>
        </w:rPr>
        <w:t xml:space="preserve"> </w:t>
      </w:r>
      <w:r>
        <w:rPr>
          <w:rFonts w:ascii="Arial" w:hAnsi="Arial" w:cs="Arial"/>
          <w:sz w:val="20"/>
          <w:lang w:val="en-US"/>
        </w:rPr>
        <w:t>List</w:t>
      </w:r>
      <w:r w:rsidRPr="003067D7">
        <w:rPr>
          <w:rFonts w:ascii="Arial" w:hAnsi="Arial" w:cs="Arial"/>
          <w:sz w:val="20"/>
          <w:lang w:val="en-US"/>
        </w:rPr>
        <w:t xml:space="preserve"> </w:t>
      </w:r>
      <w:r>
        <w:rPr>
          <w:rFonts w:ascii="Arial" w:hAnsi="Arial" w:cs="Arial"/>
          <w:sz w:val="20"/>
          <w:lang w:val="en-US"/>
        </w:rPr>
        <w:t>of</w:t>
      </w:r>
      <w:r w:rsidRPr="003067D7">
        <w:rPr>
          <w:rFonts w:ascii="Arial" w:hAnsi="Arial" w:cs="Arial"/>
          <w:sz w:val="20"/>
          <w:lang w:val="en-US"/>
        </w:rPr>
        <w:t xml:space="preserve"> </w:t>
      </w:r>
      <w:r>
        <w:rPr>
          <w:rFonts w:ascii="Arial" w:hAnsi="Arial" w:cs="Arial"/>
          <w:sz w:val="20"/>
          <w:lang w:val="en-US"/>
        </w:rPr>
        <w:t>securities</w:t>
      </w:r>
      <w:r w:rsidRPr="003067D7">
        <w:rPr>
          <w:rFonts w:ascii="Arial" w:hAnsi="Arial" w:cs="Arial"/>
          <w:sz w:val="20"/>
          <w:lang w:val="en-US"/>
        </w:rPr>
        <w:t xml:space="preserve"> </w:t>
      </w:r>
      <w:r>
        <w:rPr>
          <w:rFonts w:ascii="Arial" w:hAnsi="Arial" w:cs="Arial"/>
          <w:sz w:val="20"/>
          <w:lang w:val="en-US"/>
        </w:rPr>
        <w:t>to</w:t>
      </w:r>
      <w:r w:rsidRPr="003067D7">
        <w:rPr>
          <w:rFonts w:ascii="Arial" w:hAnsi="Arial" w:cs="Arial"/>
          <w:sz w:val="20"/>
          <w:lang w:val="en-US"/>
        </w:rPr>
        <w:t xml:space="preserve"> </w:t>
      </w:r>
      <w:r>
        <w:rPr>
          <w:rFonts w:ascii="Arial" w:hAnsi="Arial" w:cs="Arial"/>
          <w:sz w:val="20"/>
          <w:lang w:val="en-US"/>
        </w:rPr>
        <w:t>be</w:t>
      </w:r>
      <w:r w:rsidRPr="003067D7">
        <w:rPr>
          <w:rFonts w:ascii="Arial" w:hAnsi="Arial" w:cs="Arial"/>
          <w:sz w:val="20"/>
          <w:lang w:val="en-US"/>
        </w:rPr>
        <w:t xml:space="preserve"> </w:t>
      </w:r>
      <w:r>
        <w:rPr>
          <w:rFonts w:ascii="Arial" w:hAnsi="Arial" w:cs="Arial"/>
          <w:sz w:val="20"/>
          <w:lang w:val="en-US"/>
        </w:rPr>
        <w:t>excluded</w:t>
      </w:r>
      <w:r w:rsidRPr="003067D7">
        <w:rPr>
          <w:rFonts w:ascii="Arial" w:hAnsi="Arial" w:cs="Arial"/>
          <w:sz w:val="20"/>
          <w:lang w:val="en-US"/>
        </w:rPr>
        <w:t xml:space="preserve"> </w:t>
      </w:r>
      <w:r>
        <w:rPr>
          <w:rFonts w:ascii="Arial" w:hAnsi="Arial" w:cs="Arial"/>
          <w:sz w:val="20"/>
          <w:lang w:val="en-US"/>
        </w:rPr>
        <w:t>from the Securities List</w:t>
      </w:r>
      <w:r w:rsidR="00E967A7" w:rsidRPr="003067D7">
        <w:rPr>
          <w:rFonts w:ascii="Arial" w:hAnsi="Arial" w:cs="Arial"/>
          <w:sz w:val="20"/>
          <w:lang w:val="en-US"/>
        </w:rPr>
        <w:t>.</w:t>
      </w:r>
    </w:p>
    <w:p w:rsidR="00E33586" w:rsidRPr="00E33586" w:rsidRDefault="00E33586" w:rsidP="00E33586">
      <w:pPr>
        <w:keepNext/>
        <w:numPr>
          <w:ilvl w:val="0"/>
          <w:numId w:val="5"/>
        </w:numPr>
        <w:spacing w:before="284" w:after="240"/>
        <w:rPr>
          <w:rFonts w:ascii="Arial" w:hAnsi="Arial" w:cs="Arial"/>
          <w:b/>
          <w:bCs/>
          <w:sz w:val="20"/>
          <w:lang w:val="en-US"/>
        </w:rPr>
      </w:pPr>
      <w:r w:rsidRPr="00E33586">
        <w:rPr>
          <w:rFonts w:ascii="Arial" w:hAnsi="Arial" w:cs="Arial"/>
          <w:b/>
          <w:bCs/>
          <w:sz w:val="20"/>
          <w:lang w:val="en-US"/>
        </w:rPr>
        <w:t>Calculating free-float coefficients and determining the number of securities used as Index constituents</w:t>
      </w:r>
    </w:p>
    <w:p w:rsidR="00E33586" w:rsidRDefault="00E33586" w:rsidP="00E33586">
      <w:pPr>
        <w:pStyle w:val="txt"/>
        <w:spacing w:before="120" w:beforeAutospacing="0" w:after="0" w:afterAutospacing="0"/>
        <w:jc w:val="both"/>
        <w:rPr>
          <w:color w:val="auto"/>
          <w:sz w:val="20"/>
          <w:szCs w:val="20"/>
          <w:lang w:val="en-US"/>
        </w:rPr>
      </w:pPr>
      <w:r>
        <w:rPr>
          <w:color w:val="auto"/>
          <w:sz w:val="20"/>
          <w:szCs w:val="20"/>
          <w:lang w:val="en-US"/>
        </w:rPr>
        <w:t xml:space="preserve">Adjusting coefficients </w:t>
      </w:r>
      <w:r>
        <w:rPr>
          <w:b/>
          <w:bCs/>
          <w:color w:val="auto"/>
          <w:sz w:val="20"/>
          <w:szCs w:val="20"/>
          <w:lang w:val="en-US"/>
        </w:rPr>
        <w:t>Wi</w:t>
      </w:r>
      <w:r>
        <w:rPr>
          <w:color w:val="auto"/>
          <w:sz w:val="20"/>
          <w:szCs w:val="20"/>
          <w:lang w:val="en-US"/>
        </w:rPr>
        <w:t xml:space="preserve">, which account for the number of i-th free float securities, are calculated with 0.01 (1%) accuracy based on information accessible to public and expert evaluation. </w:t>
      </w:r>
    </w:p>
    <w:p w:rsidR="00E33586" w:rsidRPr="00E72E44" w:rsidRDefault="00E72E44">
      <w:pPr>
        <w:pStyle w:val="a7"/>
        <w:spacing w:before="120"/>
        <w:jc w:val="both"/>
        <w:rPr>
          <w:rFonts w:ascii="Arial" w:hAnsi="Arial" w:cs="Arial"/>
          <w:sz w:val="20"/>
          <w:lang w:val="en-US"/>
        </w:rPr>
      </w:pPr>
      <w:r w:rsidRPr="00E72E44">
        <w:rPr>
          <w:rFonts w:ascii="Arial" w:hAnsi="Arial" w:cs="Arial"/>
          <w:sz w:val="20"/>
          <w:lang w:val="en-US"/>
        </w:rPr>
        <w:t>Information on current shareholders is provided by information agencies specialized in economic data disclosure and issuing companies.</w:t>
      </w:r>
    </w:p>
    <w:p w:rsidR="00E72E44" w:rsidRDefault="00E72E44" w:rsidP="00E72E44">
      <w:pPr>
        <w:pStyle w:val="a7"/>
        <w:spacing w:after="0"/>
        <w:jc w:val="both"/>
        <w:rPr>
          <w:rFonts w:ascii="Arial" w:hAnsi="Arial" w:cs="Arial"/>
          <w:sz w:val="20"/>
          <w:lang w:val="en-US"/>
        </w:rPr>
      </w:pPr>
      <w:r>
        <w:rPr>
          <w:rFonts w:ascii="Arial" w:hAnsi="Arial" w:cs="Arial"/>
          <w:sz w:val="20"/>
          <w:lang w:val="en-US"/>
        </w:rPr>
        <w:t xml:space="preserve">Coefficients </w:t>
      </w:r>
      <w:r>
        <w:rPr>
          <w:rFonts w:ascii="Arial" w:hAnsi="Arial" w:cs="Arial"/>
          <w:b/>
          <w:bCs/>
          <w:sz w:val="20"/>
          <w:lang w:val="en-US"/>
        </w:rPr>
        <w:t>Wi</w:t>
      </w:r>
      <w:r>
        <w:rPr>
          <w:rFonts w:ascii="Arial" w:hAnsi="Arial" w:cs="Arial"/>
          <w:sz w:val="20"/>
          <w:lang w:val="en-US"/>
        </w:rPr>
        <w:t xml:space="preserve"> are calculated as follows:</w:t>
      </w:r>
    </w:p>
    <w:p w:rsidR="00E967A7" w:rsidRDefault="00E967A7">
      <w:pPr>
        <w:pStyle w:val="a7"/>
        <w:spacing w:before="120"/>
        <w:jc w:val="center"/>
        <w:rPr>
          <w:rFonts w:ascii="Arial" w:hAnsi="Arial" w:cs="Arial"/>
          <w:sz w:val="20"/>
        </w:rPr>
      </w:pPr>
      <w:r w:rsidRPr="00EF30B4">
        <w:rPr>
          <w:rFonts w:ascii="Arial" w:hAnsi="Arial" w:cs="Arial"/>
          <w:position w:val="-30"/>
          <w:sz w:val="20"/>
        </w:rPr>
        <w:object w:dxaOrig="1460" w:dyaOrig="720">
          <v:shape id="_x0000_i1040" type="#_x0000_t75" style="width:72.7pt;height:36pt" o:ole="" fillcolor="window">
            <v:imagedata r:id="rId37" o:title=""/>
          </v:shape>
          <o:OLEObject Type="Embed" ProgID="Equation.3" ShapeID="_x0000_i1040" DrawAspect="Content" ObjectID="_1527600458" r:id="rId38"/>
        </w:object>
      </w:r>
    </w:p>
    <w:p w:rsidR="00E72E44" w:rsidRDefault="00E72E44">
      <w:pPr>
        <w:pStyle w:val="a7"/>
        <w:spacing w:before="120"/>
        <w:ind w:left="709" w:hanging="709"/>
        <w:rPr>
          <w:rFonts w:ascii="Arial" w:hAnsi="Arial" w:cs="Arial"/>
          <w:sz w:val="20"/>
          <w:lang w:val="en-US"/>
        </w:rPr>
      </w:pPr>
      <w:r>
        <w:rPr>
          <w:rFonts w:ascii="Arial" w:hAnsi="Arial" w:cs="Arial"/>
          <w:sz w:val="20"/>
          <w:lang w:val="en-US"/>
        </w:rPr>
        <w:t>where</w:t>
      </w:r>
      <w:r w:rsidR="00E967A7" w:rsidRPr="00E72E44">
        <w:rPr>
          <w:rFonts w:ascii="Arial" w:hAnsi="Arial" w:cs="Arial"/>
          <w:sz w:val="20"/>
          <w:lang w:val="en-US"/>
        </w:rPr>
        <w:t xml:space="preserve"> </w:t>
      </w:r>
      <w:r w:rsidR="00E967A7" w:rsidRPr="00E72E44">
        <w:rPr>
          <w:rFonts w:ascii="Arial" w:hAnsi="Arial" w:cs="Arial"/>
          <w:sz w:val="20"/>
          <w:lang w:val="en-US"/>
        </w:rPr>
        <w:tab/>
      </w:r>
      <w:r w:rsidR="00E967A7" w:rsidRPr="00E72E44">
        <w:rPr>
          <w:rFonts w:ascii="Arial" w:hAnsi="Arial" w:cs="Arial"/>
          <w:b/>
          <w:sz w:val="20"/>
          <w:lang w:val="en-US"/>
        </w:rPr>
        <w:t>Q</w:t>
      </w:r>
      <w:r w:rsidR="00E967A7" w:rsidRPr="00E72E44">
        <w:rPr>
          <w:rFonts w:ascii="Arial" w:hAnsi="Arial" w:cs="Arial"/>
          <w:b/>
          <w:sz w:val="20"/>
          <w:vertAlign w:val="subscript"/>
          <w:lang w:val="en-US"/>
        </w:rPr>
        <w:t>i</w:t>
      </w:r>
      <w:r w:rsidR="00E967A7" w:rsidRPr="00E72E44">
        <w:rPr>
          <w:rFonts w:ascii="Arial" w:hAnsi="Arial" w:cs="Arial"/>
          <w:sz w:val="20"/>
          <w:lang w:val="en-US"/>
        </w:rPr>
        <w:t xml:space="preserve"> - </w:t>
      </w:r>
      <w:r>
        <w:rPr>
          <w:rFonts w:ascii="Arial" w:hAnsi="Arial" w:cs="Arial"/>
          <w:sz w:val="20"/>
          <w:lang w:val="en-US"/>
        </w:rPr>
        <w:t>total</w:t>
      </w:r>
      <w:r w:rsidRPr="00E72E44">
        <w:rPr>
          <w:rFonts w:ascii="Arial" w:hAnsi="Arial" w:cs="Arial"/>
          <w:sz w:val="20"/>
          <w:lang w:val="en-US"/>
        </w:rPr>
        <w:t xml:space="preserve"> </w:t>
      </w:r>
      <w:r>
        <w:rPr>
          <w:rFonts w:ascii="Arial" w:hAnsi="Arial" w:cs="Arial"/>
          <w:sz w:val="20"/>
          <w:lang w:val="en-US"/>
        </w:rPr>
        <w:t>number</w:t>
      </w:r>
      <w:r w:rsidRPr="00E72E44">
        <w:rPr>
          <w:rFonts w:ascii="Arial" w:hAnsi="Arial" w:cs="Arial"/>
          <w:sz w:val="20"/>
          <w:lang w:val="en-US"/>
        </w:rPr>
        <w:t xml:space="preserve"> </w:t>
      </w:r>
      <w:r>
        <w:rPr>
          <w:rFonts w:ascii="Arial" w:hAnsi="Arial" w:cs="Arial"/>
          <w:sz w:val="20"/>
          <w:lang w:val="en-US"/>
        </w:rPr>
        <w:t>of</w:t>
      </w:r>
      <w:r w:rsidRPr="00E72E44">
        <w:rPr>
          <w:rFonts w:ascii="Arial" w:hAnsi="Arial" w:cs="Arial"/>
          <w:sz w:val="20"/>
          <w:lang w:val="en-US"/>
        </w:rPr>
        <w:t xml:space="preserve"> </w:t>
      </w:r>
      <w:r>
        <w:rPr>
          <w:rFonts w:ascii="Arial" w:hAnsi="Arial" w:cs="Arial"/>
          <w:sz w:val="20"/>
          <w:lang w:val="en-US"/>
        </w:rPr>
        <w:t>i</w:t>
      </w:r>
      <w:r w:rsidRPr="00E72E44">
        <w:rPr>
          <w:rFonts w:ascii="Arial" w:hAnsi="Arial" w:cs="Arial"/>
          <w:sz w:val="20"/>
          <w:lang w:val="en-US"/>
        </w:rPr>
        <w:t>-</w:t>
      </w:r>
      <w:r>
        <w:rPr>
          <w:rFonts w:ascii="Arial" w:hAnsi="Arial" w:cs="Arial"/>
          <w:sz w:val="20"/>
          <w:lang w:val="en-US"/>
        </w:rPr>
        <w:t>th</w:t>
      </w:r>
      <w:r w:rsidRPr="00E72E44">
        <w:rPr>
          <w:rFonts w:ascii="Arial" w:hAnsi="Arial" w:cs="Arial"/>
          <w:sz w:val="20"/>
          <w:lang w:val="en-US"/>
        </w:rPr>
        <w:t xml:space="preserve"> </w:t>
      </w:r>
      <w:r>
        <w:rPr>
          <w:rFonts w:ascii="Arial" w:hAnsi="Arial" w:cs="Arial"/>
          <w:sz w:val="20"/>
          <w:lang w:val="en-US"/>
        </w:rPr>
        <w:t>shares</w:t>
      </w:r>
      <w:r w:rsidR="00E967A7" w:rsidRPr="00E72E44">
        <w:rPr>
          <w:rFonts w:ascii="Arial" w:hAnsi="Arial" w:cs="Arial"/>
          <w:sz w:val="20"/>
          <w:lang w:val="en-US"/>
        </w:rPr>
        <w:t>,</w:t>
      </w:r>
      <w:r w:rsidR="00E967A7" w:rsidRPr="00E72E44">
        <w:rPr>
          <w:rFonts w:ascii="Arial" w:hAnsi="Arial" w:cs="Arial"/>
          <w:sz w:val="20"/>
          <w:lang w:val="en-US"/>
        </w:rPr>
        <w:br/>
      </w:r>
      <w:r w:rsidR="00E967A7" w:rsidRPr="00E72E44">
        <w:rPr>
          <w:rFonts w:ascii="Arial" w:hAnsi="Arial" w:cs="Arial"/>
          <w:b/>
          <w:sz w:val="20"/>
          <w:lang w:val="en-US"/>
        </w:rPr>
        <w:t>Q</w:t>
      </w:r>
      <w:r w:rsidR="00E967A7">
        <w:rPr>
          <w:rFonts w:ascii="Arial" w:hAnsi="Arial" w:cs="Arial"/>
          <w:b/>
          <w:sz w:val="20"/>
          <w:vertAlign w:val="superscript"/>
          <w:lang w:val="en-US"/>
        </w:rPr>
        <w:t>h</w:t>
      </w:r>
      <w:r w:rsidR="00E967A7" w:rsidRPr="00E72E44">
        <w:rPr>
          <w:rFonts w:ascii="Arial" w:hAnsi="Arial" w:cs="Arial"/>
          <w:b/>
          <w:sz w:val="20"/>
          <w:vertAlign w:val="subscript"/>
          <w:lang w:val="en-US"/>
        </w:rPr>
        <w:t>i</w:t>
      </w:r>
      <w:r w:rsidR="00E967A7" w:rsidRPr="00E72E44">
        <w:rPr>
          <w:rFonts w:ascii="Arial" w:hAnsi="Arial" w:cs="Arial"/>
          <w:sz w:val="20"/>
          <w:lang w:val="en-US"/>
        </w:rPr>
        <w:t xml:space="preserve"> - </w:t>
      </w:r>
      <w:r>
        <w:rPr>
          <w:rFonts w:ascii="Arial" w:hAnsi="Arial" w:cs="Arial"/>
          <w:sz w:val="20"/>
          <w:lang w:val="en-US"/>
        </w:rPr>
        <w:t>number</w:t>
      </w:r>
      <w:r w:rsidRPr="00E72E44">
        <w:rPr>
          <w:rFonts w:ascii="Arial" w:hAnsi="Arial" w:cs="Arial"/>
          <w:sz w:val="20"/>
          <w:lang w:val="en-US"/>
        </w:rPr>
        <w:t xml:space="preserve"> </w:t>
      </w:r>
      <w:r>
        <w:rPr>
          <w:rFonts w:ascii="Arial" w:hAnsi="Arial" w:cs="Arial"/>
          <w:sz w:val="20"/>
          <w:lang w:val="en-US"/>
        </w:rPr>
        <w:t>of</w:t>
      </w:r>
      <w:r w:rsidRPr="00E72E44">
        <w:rPr>
          <w:rFonts w:ascii="Arial" w:hAnsi="Arial" w:cs="Arial"/>
          <w:sz w:val="20"/>
          <w:lang w:val="en-US"/>
        </w:rPr>
        <w:t xml:space="preserve"> </w:t>
      </w:r>
      <w:r>
        <w:rPr>
          <w:rFonts w:ascii="Arial" w:hAnsi="Arial" w:cs="Arial"/>
          <w:sz w:val="20"/>
          <w:lang w:val="en-US"/>
        </w:rPr>
        <w:t>i</w:t>
      </w:r>
      <w:r w:rsidRPr="00E72E44">
        <w:rPr>
          <w:rFonts w:ascii="Arial" w:hAnsi="Arial" w:cs="Arial"/>
          <w:sz w:val="20"/>
          <w:lang w:val="en-US"/>
        </w:rPr>
        <w:t>-</w:t>
      </w:r>
      <w:r>
        <w:rPr>
          <w:rFonts w:ascii="Arial" w:hAnsi="Arial" w:cs="Arial"/>
          <w:sz w:val="20"/>
          <w:lang w:val="en-US"/>
        </w:rPr>
        <w:t>th</w:t>
      </w:r>
      <w:r w:rsidRPr="00E72E44">
        <w:rPr>
          <w:rFonts w:ascii="Arial" w:hAnsi="Arial" w:cs="Arial"/>
          <w:sz w:val="20"/>
          <w:lang w:val="en-US"/>
        </w:rPr>
        <w:t xml:space="preserve"> </w:t>
      </w:r>
      <w:r>
        <w:rPr>
          <w:rFonts w:ascii="Arial" w:hAnsi="Arial" w:cs="Arial"/>
          <w:sz w:val="20"/>
          <w:lang w:val="en-US"/>
        </w:rPr>
        <w:t>shares</w:t>
      </w:r>
      <w:r w:rsidRPr="00E72E44">
        <w:rPr>
          <w:rFonts w:ascii="Arial" w:hAnsi="Arial" w:cs="Arial"/>
          <w:sz w:val="20"/>
          <w:lang w:val="en-US"/>
        </w:rPr>
        <w:t xml:space="preserve"> </w:t>
      </w:r>
      <w:r>
        <w:rPr>
          <w:rFonts w:ascii="Arial" w:hAnsi="Arial" w:cs="Arial"/>
          <w:sz w:val="20"/>
          <w:lang w:val="en-US"/>
        </w:rPr>
        <w:t>owned</w:t>
      </w:r>
      <w:r w:rsidRPr="00E72E44">
        <w:rPr>
          <w:rFonts w:ascii="Arial" w:hAnsi="Arial" w:cs="Arial"/>
          <w:sz w:val="20"/>
          <w:lang w:val="en-US"/>
        </w:rPr>
        <w:t xml:space="preserve"> </w:t>
      </w:r>
      <w:r>
        <w:rPr>
          <w:rFonts w:ascii="Arial" w:hAnsi="Arial" w:cs="Arial"/>
          <w:sz w:val="20"/>
          <w:lang w:val="en-US"/>
        </w:rPr>
        <w:t>by</w:t>
      </w:r>
      <w:r w:rsidRPr="00E72E44">
        <w:rPr>
          <w:rFonts w:ascii="Arial" w:hAnsi="Arial" w:cs="Arial"/>
          <w:sz w:val="20"/>
          <w:lang w:val="en-US"/>
        </w:rPr>
        <w:t xml:space="preserve"> </w:t>
      </w:r>
      <w:r>
        <w:rPr>
          <w:rFonts w:ascii="Arial" w:hAnsi="Arial" w:cs="Arial"/>
          <w:sz w:val="20"/>
          <w:lang w:val="en-US"/>
        </w:rPr>
        <w:t>the</w:t>
      </w:r>
      <w:r w:rsidRPr="00E72E44">
        <w:rPr>
          <w:rFonts w:ascii="Arial" w:hAnsi="Arial" w:cs="Arial"/>
          <w:sz w:val="20"/>
          <w:lang w:val="en-US"/>
        </w:rPr>
        <w:t xml:space="preserve"> </w:t>
      </w:r>
      <w:r>
        <w:rPr>
          <w:rFonts w:ascii="Arial" w:hAnsi="Arial" w:cs="Arial"/>
          <w:sz w:val="20"/>
          <w:lang w:val="en-US"/>
        </w:rPr>
        <w:t>government</w:t>
      </w:r>
      <w:r w:rsidRPr="00E72E44">
        <w:rPr>
          <w:rFonts w:ascii="Arial" w:hAnsi="Arial" w:cs="Arial"/>
          <w:sz w:val="20"/>
          <w:lang w:val="en-US"/>
        </w:rPr>
        <w:t xml:space="preserve">, </w:t>
      </w:r>
      <w:r>
        <w:rPr>
          <w:rFonts w:ascii="Arial" w:hAnsi="Arial" w:cs="Arial"/>
          <w:sz w:val="20"/>
          <w:lang w:val="en-US"/>
        </w:rPr>
        <w:t>controlling</w:t>
      </w:r>
      <w:r w:rsidRPr="00E72E44">
        <w:rPr>
          <w:rFonts w:ascii="Arial" w:hAnsi="Arial" w:cs="Arial"/>
          <w:sz w:val="20"/>
          <w:lang w:val="en-US"/>
        </w:rPr>
        <w:t xml:space="preserve"> </w:t>
      </w:r>
      <w:r>
        <w:rPr>
          <w:rFonts w:ascii="Arial" w:hAnsi="Arial" w:cs="Arial"/>
          <w:sz w:val="20"/>
          <w:lang w:val="en-US"/>
        </w:rPr>
        <w:t>shareholders</w:t>
      </w:r>
      <w:r w:rsidRPr="00E72E44">
        <w:rPr>
          <w:rFonts w:ascii="Arial" w:hAnsi="Arial" w:cs="Arial"/>
          <w:sz w:val="20"/>
          <w:lang w:val="en-US"/>
        </w:rPr>
        <w:t xml:space="preserve">, </w:t>
      </w:r>
      <w:r>
        <w:rPr>
          <w:rFonts w:ascii="Arial" w:hAnsi="Arial" w:cs="Arial"/>
          <w:sz w:val="20"/>
          <w:lang w:val="en-US"/>
        </w:rPr>
        <w:t>management</w:t>
      </w:r>
      <w:r w:rsidRPr="00E72E44">
        <w:rPr>
          <w:rFonts w:ascii="Arial" w:hAnsi="Arial" w:cs="Arial"/>
          <w:sz w:val="20"/>
          <w:lang w:val="en-US"/>
        </w:rPr>
        <w:t xml:space="preserve"> </w:t>
      </w:r>
      <w:r>
        <w:rPr>
          <w:rFonts w:ascii="Arial" w:hAnsi="Arial" w:cs="Arial"/>
          <w:sz w:val="20"/>
          <w:lang w:val="en-US"/>
        </w:rPr>
        <w:t>and</w:t>
      </w:r>
      <w:r w:rsidRPr="00E72E44">
        <w:rPr>
          <w:rFonts w:ascii="Arial" w:hAnsi="Arial" w:cs="Arial"/>
          <w:sz w:val="20"/>
          <w:lang w:val="en-US"/>
        </w:rPr>
        <w:t xml:space="preserve"> </w:t>
      </w:r>
      <w:r>
        <w:rPr>
          <w:rFonts w:ascii="Arial" w:hAnsi="Arial" w:cs="Arial"/>
          <w:sz w:val="20"/>
          <w:lang w:val="en-US"/>
        </w:rPr>
        <w:t>other</w:t>
      </w:r>
      <w:r w:rsidRPr="00E72E44">
        <w:rPr>
          <w:rFonts w:ascii="Arial" w:hAnsi="Arial" w:cs="Arial"/>
          <w:sz w:val="20"/>
          <w:lang w:val="en-US"/>
        </w:rPr>
        <w:t xml:space="preserve"> </w:t>
      </w:r>
      <w:r>
        <w:rPr>
          <w:rFonts w:ascii="Arial" w:hAnsi="Arial" w:cs="Arial"/>
          <w:sz w:val="20"/>
          <w:lang w:val="en-US"/>
        </w:rPr>
        <w:t>strategic</w:t>
      </w:r>
      <w:r w:rsidRPr="00E72E44">
        <w:rPr>
          <w:rFonts w:ascii="Arial" w:hAnsi="Arial" w:cs="Arial"/>
          <w:sz w:val="20"/>
          <w:lang w:val="en-US"/>
        </w:rPr>
        <w:t xml:space="preserve"> </w:t>
      </w:r>
      <w:r>
        <w:rPr>
          <w:rFonts w:ascii="Arial" w:hAnsi="Arial" w:cs="Arial"/>
          <w:sz w:val="20"/>
          <w:lang w:val="en-US"/>
        </w:rPr>
        <w:t>investors</w:t>
      </w:r>
      <w:r w:rsidRPr="00E72E44">
        <w:rPr>
          <w:rFonts w:ascii="Arial" w:hAnsi="Arial" w:cs="Arial"/>
          <w:sz w:val="20"/>
          <w:lang w:val="en-US"/>
        </w:rPr>
        <w:t xml:space="preserve">, </w:t>
      </w:r>
      <w:r>
        <w:rPr>
          <w:rFonts w:ascii="Arial" w:hAnsi="Arial" w:cs="Arial"/>
          <w:sz w:val="20"/>
          <w:lang w:val="en-US"/>
        </w:rPr>
        <w:t>including</w:t>
      </w:r>
      <w:r w:rsidRPr="00E72E44">
        <w:rPr>
          <w:rFonts w:ascii="Arial" w:hAnsi="Arial" w:cs="Arial"/>
          <w:sz w:val="20"/>
          <w:lang w:val="en-US"/>
        </w:rPr>
        <w:t xml:space="preserve"> </w:t>
      </w:r>
      <w:r>
        <w:rPr>
          <w:rFonts w:ascii="Arial" w:hAnsi="Arial" w:cs="Arial"/>
          <w:sz w:val="20"/>
          <w:lang w:val="en-US"/>
        </w:rPr>
        <w:t>shares</w:t>
      </w:r>
      <w:r w:rsidRPr="00E72E44">
        <w:rPr>
          <w:rFonts w:ascii="Arial" w:hAnsi="Arial" w:cs="Arial"/>
          <w:sz w:val="20"/>
          <w:lang w:val="en-US"/>
        </w:rPr>
        <w:t xml:space="preserve"> </w:t>
      </w:r>
      <w:r>
        <w:rPr>
          <w:rFonts w:ascii="Arial" w:hAnsi="Arial" w:cs="Arial"/>
          <w:sz w:val="20"/>
          <w:lang w:val="en-US"/>
        </w:rPr>
        <w:t>in</w:t>
      </w:r>
      <w:r w:rsidRPr="00E72E44">
        <w:rPr>
          <w:rFonts w:ascii="Arial" w:hAnsi="Arial" w:cs="Arial"/>
          <w:sz w:val="20"/>
          <w:lang w:val="en-US"/>
        </w:rPr>
        <w:t xml:space="preserve"> </w:t>
      </w:r>
      <w:r>
        <w:rPr>
          <w:rFonts w:ascii="Arial" w:hAnsi="Arial" w:cs="Arial"/>
          <w:sz w:val="20"/>
          <w:lang w:val="en-US"/>
        </w:rPr>
        <w:t>crossholding.</w:t>
      </w:r>
      <w:r w:rsidRPr="00E72E44">
        <w:rPr>
          <w:rFonts w:ascii="Arial" w:hAnsi="Arial" w:cs="Arial"/>
          <w:sz w:val="20"/>
          <w:lang w:val="en-US"/>
        </w:rPr>
        <w:t xml:space="preserve"> </w:t>
      </w:r>
    </w:p>
    <w:p w:rsidR="00E967A7" w:rsidRPr="00E72E44" w:rsidRDefault="00E72E44" w:rsidP="00E72E44">
      <w:pPr>
        <w:pStyle w:val="a7"/>
        <w:spacing w:before="120"/>
        <w:rPr>
          <w:rStyle w:val="ad"/>
          <w:rFonts w:ascii="Arial" w:hAnsi="Arial" w:cs="Arial"/>
          <w:b w:val="0"/>
          <w:bCs w:val="0"/>
          <w:sz w:val="20"/>
          <w:lang w:val="en-US"/>
        </w:rPr>
      </w:pPr>
      <w:r>
        <w:rPr>
          <w:rStyle w:val="ad"/>
          <w:rFonts w:ascii="Arial" w:hAnsi="Arial" w:cs="Arial"/>
          <w:b w:val="0"/>
          <w:bCs w:val="0"/>
          <w:sz w:val="20"/>
          <w:lang w:val="en-US"/>
        </w:rPr>
        <w:t>The decision on the number of shares that are taken into a</w:t>
      </w:r>
      <w:r w:rsidR="00F47712">
        <w:rPr>
          <w:rStyle w:val="ad"/>
          <w:rFonts w:ascii="Arial" w:hAnsi="Arial" w:cs="Arial"/>
          <w:b w:val="0"/>
          <w:bCs w:val="0"/>
          <w:sz w:val="20"/>
          <w:lang w:val="en-US"/>
        </w:rPr>
        <w:t>ccount in calculating the Index</w:t>
      </w:r>
      <w:r>
        <w:rPr>
          <w:rStyle w:val="ad"/>
          <w:rFonts w:ascii="Arial" w:hAnsi="Arial" w:cs="Arial"/>
          <w:b w:val="0"/>
          <w:bCs w:val="0"/>
          <w:sz w:val="20"/>
          <w:lang w:val="en-US"/>
        </w:rPr>
        <w:t xml:space="preserve"> is taken by the Index Committee. </w:t>
      </w:r>
    </w:p>
    <w:p w:rsidR="00E72E44" w:rsidRPr="00E72E44" w:rsidRDefault="00E72E44">
      <w:pPr>
        <w:pStyle w:val="a7"/>
        <w:spacing w:before="120"/>
        <w:ind w:left="709" w:hanging="709"/>
        <w:rPr>
          <w:rStyle w:val="ad"/>
          <w:rFonts w:ascii="Arial" w:hAnsi="Arial" w:cs="Arial"/>
          <w:b w:val="0"/>
          <w:bCs w:val="0"/>
          <w:sz w:val="20"/>
          <w:lang w:val="en-US"/>
        </w:rPr>
      </w:pPr>
    </w:p>
    <w:p w:rsidR="00E967A7" w:rsidRPr="00C25800" w:rsidRDefault="00C25800">
      <w:pPr>
        <w:keepNext/>
        <w:numPr>
          <w:ilvl w:val="0"/>
          <w:numId w:val="5"/>
        </w:numPr>
        <w:spacing w:before="284" w:after="240"/>
        <w:rPr>
          <w:rFonts w:ascii="Arial" w:hAnsi="Arial" w:cs="Arial"/>
          <w:b/>
          <w:sz w:val="20"/>
          <w:lang w:val="en-US"/>
        </w:rPr>
      </w:pPr>
      <w:bookmarkStart w:id="0" w:name="_Ref171506451"/>
      <w:r>
        <w:rPr>
          <w:rFonts w:ascii="Arial" w:hAnsi="Arial" w:cs="Arial"/>
          <w:b/>
          <w:sz w:val="20"/>
          <w:lang w:val="en-US"/>
        </w:rPr>
        <w:t>Calculation of the adjusting coefficient</w:t>
      </w:r>
      <w:r w:rsidR="00E967A7" w:rsidRPr="00C25800">
        <w:rPr>
          <w:rFonts w:ascii="Arial" w:hAnsi="Arial" w:cs="Arial"/>
          <w:b/>
          <w:sz w:val="20"/>
          <w:lang w:val="en-US"/>
        </w:rPr>
        <w:t xml:space="preserve"> </w:t>
      </w:r>
      <w:r w:rsidRPr="00C25800">
        <w:rPr>
          <w:rFonts w:ascii="Arial" w:hAnsi="Arial" w:cs="Arial"/>
          <w:b/>
          <w:bCs/>
          <w:sz w:val="20"/>
          <w:lang w:val="en-US"/>
        </w:rPr>
        <w:t>Z</w:t>
      </w:r>
      <w:r w:rsidRPr="00C25800">
        <w:rPr>
          <w:rFonts w:ascii="Arial" w:hAnsi="Arial" w:cs="Arial"/>
          <w:b/>
          <w:bCs/>
          <w:sz w:val="20"/>
          <w:vertAlign w:val="subscript"/>
          <w:lang w:val="en-US"/>
        </w:rPr>
        <w:t>n</w:t>
      </w:r>
      <w:r w:rsidR="00E967A7" w:rsidRPr="00C25800">
        <w:rPr>
          <w:rFonts w:ascii="Arial" w:hAnsi="Arial" w:cs="Arial"/>
          <w:b/>
          <w:sz w:val="20"/>
          <w:lang w:val="en-US"/>
        </w:rPr>
        <w:t xml:space="preserve"> </w:t>
      </w:r>
      <w:bookmarkEnd w:id="0"/>
    </w:p>
    <w:p w:rsidR="00C25800" w:rsidRPr="00C25800" w:rsidRDefault="00C25800" w:rsidP="00C25800">
      <w:pPr>
        <w:spacing w:before="284"/>
        <w:jc w:val="both"/>
        <w:rPr>
          <w:rFonts w:ascii="Arial" w:hAnsi="Arial" w:cs="Arial"/>
          <w:sz w:val="20"/>
          <w:lang w:val="en-US"/>
        </w:rPr>
      </w:pPr>
      <w:r w:rsidRPr="00C25800">
        <w:rPr>
          <w:rFonts w:ascii="Arial" w:hAnsi="Arial" w:cs="Arial"/>
          <w:sz w:val="20"/>
          <w:lang w:val="en-US"/>
        </w:rPr>
        <w:t xml:space="preserve">In case of change of the Securities list, </w:t>
      </w:r>
      <w:r w:rsidRPr="00C25800">
        <w:rPr>
          <w:rFonts w:ascii="Arial" w:hAnsi="Arial" w:cs="Arial"/>
          <w:b/>
          <w:bCs/>
          <w:noProof/>
          <w:sz w:val="20"/>
        </w:rPr>
        <w:t>С</w:t>
      </w:r>
      <w:r w:rsidRPr="00C25800">
        <w:rPr>
          <w:rFonts w:ascii="Arial" w:hAnsi="Arial" w:cs="Arial"/>
          <w:b/>
          <w:bCs/>
          <w:noProof/>
          <w:sz w:val="20"/>
          <w:vertAlign w:val="subscript"/>
          <w:lang w:val="en-US"/>
        </w:rPr>
        <w:t>i</w:t>
      </w:r>
      <w:r w:rsidRPr="00C25800">
        <w:rPr>
          <w:rFonts w:ascii="Arial" w:hAnsi="Arial" w:cs="Arial"/>
          <w:sz w:val="20"/>
          <w:lang w:val="en-US"/>
        </w:rPr>
        <w:t xml:space="preserve"> restricting coefficients or </w:t>
      </w:r>
      <w:r w:rsidRPr="00C25800">
        <w:rPr>
          <w:rFonts w:ascii="Arial" w:hAnsi="Arial" w:cs="Arial"/>
          <w:b/>
          <w:bCs/>
          <w:sz w:val="20"/>
          <w:lang w:val="en-US"/>
        </w:rPr>
        <w:t>W</w:t>
      </w:r>
      <w:r w:rsidRPr="00C25800">
        <w:rPr>
          <w:rFonts w:ascii="Arial" w:hAnsi="Arial" w:cs="Arial"/>
          <w:b/>
          <w:bCs/>
          <w:sz w:val="20"/>
          <w:vertAlign w:val="subscript"/>
          <w:lang w:val="en-US"/>
        </w:rPr>
        <w:t>i</w:t>
      </w:r>
      <w:r w:rsidRPr="00C25800">
        <w:rPr>
          <w:rFonts w:ascii="Arial" w:hAnsi="Arial" w:cs="Arial"/>
          <w:sz w:val="20"/>
          <w:lang w:val="en-US"/>
        </w:rPr>
        <w:t xml:space="preserve"> free-float coefficients, also in case </w:t>
      </w:r>
      <w:r>
        <w:rPr>
          <w:rFonts w:ascii="Arial" w:hAnsi="Arial" w:cs="Arial"/>
          <w:sz w:val="20"/>
          <w:lang w:val="en-US"/>
        </w:rPr>
        <w:t xml:space="preserve">any </w:t>
      </w:r>
      <w:r w:rsidRPr="00C25800">
        <w:rPr>
          <w:rFonts w:ascii="Arial" w:hAnsi="Arial" w:cs="Arial"/>
          <w:sz w:val="20"/>
          <w:lang w:val="en-US"/>
        </w:rPr>
        <w:t xml:space="preserve">corporate events </w:t>
      </w:r>
      <w:r>
        <w:rPr>
          <w:rFonts w:ascii="Arial" w:hAnsi="Arial" w:cs="Arial"/>
          <w:sz w:val="20"/>
          <w:lang w:val="en-US"/>
        </w:rPr>
        <w:t xml:space="preserve">take place </w:t>
      </w:r>
      <w:r w:rsidRPr="00C25800">
        <w:rPr>
          <w:rFonts w:ascii="Arial" w:hAnsi="Arial" w:cs="Arial"/>
          <w:sz w:val="20"/>
          <w:lang w:val="en-US"/>
        </w:rPr>
        <w:t xml:space="preserve">or in cases described in clause 12, on day </w:t>
      </w:r>
      <w:r w:rsidRPr="00C25800">
        <w:rPr>
          <w:rFonts w:ascii="Arial" w:hAnsi="Arial" w:cs="Arial"/>
          <w:b/>
          <w:bCs/>
          <w:sz w:val="20"/>
          <w:lang w:val="en-US"/>
        </w:rPr>
        <w:t>n</w:t>
      </w:r>
      <w:r w:rsidRPr="00C25800">
        <w:rPr>
          <w:rFonts w:ascii="Arial" w:hAnsi="Arial" w:cs="Arial"/>
          <w:sz w:val="20"/>
          <w:lang w:val="en-US"/>
        </w:rPr>
        <w:t xml:space="preserve"> with intent to prevent dramatic upturn </w:t>
      </w:r>
      <w:r>
        <w:rPr>
          <w:rFonts w:ascii="Arial" w:hAnsi="Arial" w:cs="Arial"/>
          <w:sz w:val="20"/>
          <w:lang w:val="en-US"/>
        </w:rPr>
        <w:t>caused</w:t>
      </w:r>
      <w:r w:rsidRPr="00C25800">
        <w:rPr>
          <w:rFonts w:ascii="Arial" w:hAnsi="Arial" w:cs="Arial"/>
          <w:sz w:val="20"/>
          <w:lang w:val="en-US"/>
        </w:rPr>
        <w:t xml:space="preserve"> by th</w:t>
      </w:r>
      <w:r>
        <w:rPr>
          <w:rFonts w:ascii="Arial" w:hAnsi="Arial" w:cs="Arial"/>
          <w:sz w:val="20"/>
          <w:lang w:val="en-US"/>
        </w:rPr>
        <w:t>ese</w:t>
      </w:r>
      <w:r w:rsidRPr="00C25800">
        <w:rPr>
          <w:rFonts w:ascii="Arial" w:hAnsi="Arial" w:cs="Arial"/>
          <w:sz w:val="20"/>
          <w:lang w:val="en-US"/>
        </w:rPr>
        <w:t xml:space="preserve"> changes, re-calculation of </w:t>
      </w:r>
      <w:r w:rsidRPr="00C25800">
        <w:rPr>
          <w:rFonts w:ascii="Arial" w:hAnsi="Arial" w:cs="Arial"/>
          <w:b/>
          <w:bCs/>
          <w:sz w:val="20"/>
          <w:lang w:val="en-US"/>
        </w:rPr>
        <w:t>Z</w:t>
      </w:r>
      <w:r w:rsidRPr="00C25800">
        <w:rPr>
          <w:rFonts w:ascii="Arial" w:hAnsi="Arial" w:cs="Arial"/>
          <w:b/>
          <w:bCs/>
          <w:sz w:val="20"/>
          <w:vertAlign w:val="subscript"/>
          <w:lang w:val="en-US"/>
        </w:rPr>
        <w:t>n</w:t>
      </w:r>
      <w:r w:rsidRPr="00C25800">
        <w:rPr>
          <w:rFonts w:ascii="Arial" w:hAnsi="Arial" w:cs="Arial"/>
          <w:sz w:val="20"/>
          <w:lang w:val="en-US"/>
        </w:rPr>
        <w:t xml:space="preserve"> adjusting coefficient is done:</w:t>
      </w:r>
    </w:p>
    <w:p w:rsidR="00E967A7" w:rsidRDefault="00E967A7">
      <w:pPr>
        <w:spacing w:before="284"/>
        <w:jc w:val="center"/>
        <w:rPr>
          <w:rFonts w:ascii="Arial" w:hAnsi="Arial" w:cs="Arial"/>
          <w:sz w:val="20"/>
        </w:rPr>
      </w:pPr>
      <w:r w:rsidRPr="00EF30B4">
        <w:rPr>
          <w:rFonts w:ascii="Arial" w:hAnsi="Arial" w:cs="Arial"/>
          <w:position w:val="-30"/>
          <w:sz w:val="20"/>
        </w:rPr>
        <w:object w:dxaOrig="1760" w:dyaOrig="700">
          <v:shape id="_x0000_i1041" type="#_x0000_t75" style="width:88.3pt;height:35.3pt" o:ole="" fillcolor="window">
            <v:imagedata r:id="rId39" o:title=""/>
          </v:shape>
          <o:OLEObject Type="Embed" ProgID="Equation.3" ShapeID="_x0000_i1041" DrawAspect="Content" ObjectID="_1527600459" r:id="rId40"/>
        </w:object>
      </w:r>
    </w:p>
    <w:p w:rsidR="00C25800" w:rsidRPr="00C25800" w:rsidRDefault="00C25800" w:rsidP="00C25800">
      <w:pPr>
        <w:spacing w:before="284"/>
        <w:rPr>
          <w:rFonts w:ascii="Arial" w:hAnsi="Arial" w:cs="Arial"/>
          <w:sz w:val="20"/>
          <w:lang w:val="en-US"/>
        </w:rPr>
      </w:pPr>
      <w:r w:rsidRPr="00C25800">
        <w:rPr>
          <w:rFonts w:ascii="Arial" w:hAnsi="Arial" w:cs="Arial"/>
          <w:sz w:val="20"/>
          <w:lang w:val="en-US"/>
        </w:rPr>
        <w:t>where</w:t>
      </w:r>
      <w:r w:rsidRPr="00C25800">
        <w:rPr>
          <w:rFonts w:ascii="Arial" w:hAnsi="Arial" w:cs="Arial"/>
          <w:sz w:val="20"/>
          <w:lang w:val="en-US"/>
        </w:rPr>
        <w:tab/>
      </w:r>
      <w:r w:rsidRPr="00C25800">
        <w:rPr>
          <w:rFonts w:ascii="Arial" w:hAnsi="Arial" w:cs="Arial"/>
          <w:b/>
          <w:bCs/>
          <w:sz w:val="20"/>
          <w:lang w:val="en-US"/>
        </w:rPr>
        <w:t>MC</w:t>
      </w:r>
      <w:r w:rsidRPr="00C25800">
        <w:rPr>
          <w:rFonts w:ascii="Arial" w:hAnsi="Arial" w:cs="Arial"/>
          <w:b/>
          <w:bCs/>
          <w:sz w:val="20"/>
          <w:vertAlign w:val="subscript"/>
          <w:lang w:val="en-US"/>
        </w:rPr>
        <w:t>n</w:t>
      </w:r>
      <w:r w:rsidRPr="00C25800">
        <w:rPr>
          <w:rFonts w:ascii="Arial" w:hAnsi="Arial" w:cs="Arial"/>
          <w:b/>
          <w:bCs/>
          <w:sz w:val="20"/>
          <w:vertAlign w:val="superscript"/>
          <w:lang w:val="en-US"/>
        </w:rPr>
        <w:t>'</w:t>
      </w:r>
      <w:r w:rsidRPr="00C25800">
        <w:rPr>
          <w:rFonts w:ascii="Arial" w:hAnsi="Arial" w:cs="Arial"/>
          <w:sz w:val="20"/>
          <w:lang w:val="en-US"/>
        </w:rPr>
        <w:t xml:space="preserve"> – capitalization calculated in accordance with </w:t>
      </w:r>
      <w:r>
        <w:rPr>
          <w:rFonts w:ascii="Arial" w:hAnsi="Arial" w:cs="Arial"/>
          <w:sz w:val="20"/>
          <w:lang w:val="en-US"/>
        </w:rPr>
        <w:t xml:space="preserve">the </w:t>
      </w:r>
      <w:r w:rsidRPr="00C25800">
        <w:rPr>
          <w:rFonts w:ascii="Arial" w:hAnsi="Arial" w:cs="Arial"/>
          <w:sz w:val="20"/>
          <w:lang w:val="en-US"/>
        </w:rPr>
        <w:t xml:space="preserve">changes </w:t>
      </w:r>
      <w:r>
        <w:rPr>
          <w:rFonts w:ascii="Arial" w:hAnsi="Arial" w:cs="Arial"/>
          <w:sz w:val="20"/>
          <w:lang w:val="en-US"/>
        </w:rPr>
        <w:t>to</w:t>
      </w:r>
      <w:r w:rsidRPr="00C25800">
        <w:rPr>
          <w:rFonts w:ascii="Arial" w:hAnsi="Arial" w:cs="Arial"/>
          <w:sz w:val="20"/>
          <w:lang w:val="en-US"/>
        </w:rPr>
        <w:t xml:space="preserve"> the List.</w:t>
      </w:r>
    </w:p>
    <w:p w:rsidR="00E967A7" w:rsidRDefault="001F26FB">
      <w:pPr>
        <w:numPr>
          <w:ilvl w:val="0"/>
          <w:numId w:val="5"/>
        </w:numPr>
        <w:spacing w:before="284"/>
        <w:rPr>
          <w:rFonts w:ascii="Arial" w:hAnsi="Arial" w:cs="Arial"/>
          <w:b/>
          <w:bCs/>
          <w:sz w:val="20"/>
        </w:rPr>
      </w:pPr>
      <w:r>
        <w:rPr>
          <w:rFonts w:ascii="Arial" w:hAnsi="Arial" w:cs="Arial"/>
          <w:b/>
          <w:bCs/>
          <w:sz w:val="20"/>
          <w:lang w:val="en-US"/>
        </w:rPr>
        <w:t>Treatment of corporate events</w:t>
      </w:r>
    </w:p>
    <w:p w:rsidR="00E967A7" w:rsidRDefault="001F26FB">
      <w:pPr>
        <w:pStyle w:val="a7"/>
        <w:numPr>
          <w:ilvl w:val="1"/>
          <w:numId w:val="5"/>
        </w:numPr>
        <w:spacing w:before="120"/>
        <w:jc w:val="both"/>
        <w:rPr>
          <w:rFonts w:ascii="Arial" w:hAnsi="Arial" w:cs="Arial"/>
          <w:sz w:val="20"/>
        </w:rPr>
      </w:pPr>
      <w:r>
        <w:rPr>
          <w:rFonts w:ascii="Arial" w:hAnsi="Arial" w:cs="Arial"/>
          <w:sz w:val="20"/>
          <w:lang w:val="en-US"/>
        </w:rPr>
        <w:lastRenderedPageBreak/>
        <w:t>Additional securities issuing</w:t>
      </w:r>
      <w:r>
        <w:rPr>
          <w:rFonts w:ascii="Arial" w:hAnsi="Arial" w:cs="Arial"/>
          <w:sz w:val="20"/>
        </w:rPr>
        <w:t xml:space="preserve"> </w:t>
      </w:r>
    </w:p>
    <w:p w:rsidR="001F26FB" w:rsidRDefault="001F26FB">
      <w:pPr>
        <w:pStyle w:val="a7"/>
        <w:spacing w:before="120"/>
        <w:jc w:val="both"/>
        <w:rPr>
          <w:rFonts w:ascii="Arial" w:hAnsi="Arial" w:cs="Arial"/>
          <w:sz w:val="20"/>
          <w:lang w:val="en-US"/>
        </w:rPr>
      </w:pPr>
      <w:r>
        <w:rPr>
          <w:rFonts w:ascii="Arial" w:hAnsi="Arial" w:cs="Arial"/>
          <w:sz w:val="20"/>
          <w:lang w:val="en-US"/>
        </w:rPr>
        <w:t>After getting the information from the Securities and Stock Market State Commission of Ukraine on registration of new issue placement results or redemption of securities that are included in the Securities list, re-calculation of Z adjusting coefficient is done under clause 11. Period</w:t>
      </w:r>
      <w:r w:rsidRPr="00CE696B">
        <w:rPr>
          <w:rFonts w:ascii="Arial" w:hAnsi="Arial" w:cs="Arial"/>
          <w:sz w:val="20"/>
          <w:lang w:val="en-US"/>
        </w:rPr>
        <w:t xml:space="preserve"> </w:t>
      </w:r>
      <w:r>
        <w:rPr>
          <w:rFonts w:ascii="Arial" w:hAnsi="Arial" w:cs="Arial"/>
          <w:sz w:val="20"/>
          <w:lang w:val="en-US"/>
        </w:rPr>
        <w:t>of</w:t>
      </w:r>
      <w:r w:rsidRPr="00CE696B">
        <w:rPr>
          <w:rFonts w:ascii="Arial" w:hAnsi="Arial" w:cs="Arial"/>
          <w:sz w:val="20"/>
          <w:lang w:val="en-US"/>
        </w:rPr>
        <w:t xml:space="preserve"> </w:t>
      </w:r>
      <w:r>
        <w:rPr>
          <w:rFonts w:ascii="Arial" w:hAnsi="Arial" w:cs="Arial"/>
          <w:sz w:val="20"/>
          <w:lang w:val="en-US"/>
        </w:rPr>
        <w:t>taking</w:t>
      </w:r>
      <w:r w:rsidRPr="00CE696B">
        <w:rPr>
          <w:rFonts w:ascii="Arial" w:hAnsi="Arial" w:cs="Arial"/>
          <w:sz w:val="20"/>
          <w:lang w:val="en-US"/>
        </w:rPr>
        <w:t xml:space="preserve"> </w:t>
      </w:r>
      <w:r>
        <w:rPr>
          <w:rFonts w:ascii="Arial" w:hAnsi="Arial" w:cs="Arial"/>
          <w:sz w:val="20"/>
          <w:lang w:val="en-US"/>
        </w:rPr>
        <w:t>into</w:t>
      </w:r>
      <w:r w:rsidRPr="00CE696B">
        <w:rPr>
          <w:rFonts w:ascii="Arial" w:hAnsi="Arial" w:cs="Arial"/>
          <w:sz w:val="20"/>
          <w:lang w:val="en-US"/>
        </w:rPr>
        <w:t xml:space="preserve"> </w:t>
      </w:r>
      <w:r>
        <w:rPr>
          <w:rFonts w:ascii="Arial" w:hAnsi="Arial" w:cs="Arial"/>
          <w:sz w:val="20"/>
          <w:lang w:val="en-US"/>
        </w:rPr>
        <w:t>account</w:t>
      </w:r>
      <w:r w:rsidRPr="00CE696B">
        <w:rPr>
          <w:rFonts w:ascii="Arial" w:hAnsi="Arial" w:cs="Arial"/>
          <w:sz w:val="20"/>
          <w:lang w:val="en-US"/>
        </w:rPr>
        <w:t xml:space="preserve"> </w:t>
      </w:r>
      <w:r>
        <w:rPr>
          <w:rFonts w:ascii="Arial" w:hAnsi="Arial" w:cs="Arial"/>
          <w:sz w:val="20"/>
          <w:lang w:val="en-US"/>
        </w:rPr>
        <w:t>aforesaid</w:t>
      </w:r>
      <w:r w:rsidRPr="00CE696B">
        <w:rPr>
          <w:rFonts w:ascii="Arial" w:hAnsi="Arial" w:cs="Arial"/>
          <w:sz w:val="20"/>
          <w:lang w:val="en-US"/>
        </w:rPr>
        <w:t xml:space="preserve"> </w:t>
      </w:r>
      <w:r>
        <w:rPr>
          <w:rFonts w:ascii="Arial" w:hAnsi="Arial" w:cs="Arial"/>
          <w:sz w:val="20"/>
          <w:lang w:val="en-US"/>
        </w:rPr>
        <w:t>changes</w:t>
      </w:r>
      <w:r w:rsidRPr="00CE696B">
        <w:rPr>
          <w:rFonts w:ascii="Arial" w:hAnsi="Arial" w:cs="Arial"/>
          <w:sz w:val="20"/>
          <w:lang w:val="en-US"/>
        </w:rPr>
        <w:t xml:space="preserve"> </w:t>
      </w:r>
      <w:r>
        <w:rPr>
          <w:rFonts w:ascii="Arial" w:hAnsi="Arial" w:cs="Arial"/>
          <w:sz w:val="20"/>
          <w:lang w:val="en-US"/>
        </w:rPr>
        <w:t>is</w:t>
      </w:r>
      <w:r w:rsidRPr="00CE696B">
        <w:rPr>
          <w:rFonts w:ascii="Arial" w:hAnsi="Arial" w:cs="Arial"/>
          <w:sz w:val="20"/>
          <w:lang w:val="en-US"/>
        </w:rPr>
        <w:t xml:space="preserve"> </w:t>
      </w:r>
      <w:r>
        <w:rPr>
          <w:rFonts w:ascii="Arial" w:hAnsi="Arial" w:cs="Arial"/>
          <w:sz w:val="20"/>
          <w:lang w:val="en-US"/>
        </w:rPr>
        <w:t>defined</w:t>
      </w:r>
      <w:r w:rsidRPr="00CE696B">
        <w:rPr>
          <w:rFonts w:ascii="Arial" w:hAnsi="Arial" w:cs="Arial"/>
          <w:sz w:val="20"/>
          <w:lang w:val="en-US"/>
        </w:rPr>
        <w:t xml:space="preserve"> </w:t>
      </w:r>
      <w:r>
        <w:rPr>
          <w:rFonts w:ascii="Arial" w:hAnsi="Arial" w:cs="Arial"/>
          <w:sz w:val="20"/>
          <w:lang w:val="en-US"/>
        </w:rPr>
        <w:t>in</w:t>
      </w:r>
      <w:r w:rsidRPr="00CE696B">
        <w:rPr>
          <w:rFonts w:ascii="Arial" w:hAnsi="Arial" w:cs="Arial"/>
          <w:sz w:val="20"/>
          <w:lang w:val="en-US"/>
        </w:rPr>
        <w:t xml:space="preserve"> </w:t>
      </w:r>
      <w:r>
        <w:rPr>
          <w:rFonts w:ascii="Arial" w:hAnsi="Arial" w:cs="Arial"/>
          <w:sz w:val="20"/>
          <w:lang w:val="en-US"/>
        </w:rPr>
        <w:t>clause</w:t>
      </w:r>
      <w:r w:rsidRPr="00CE696B">
        <w:rPr>
          <w:rFonts w:ascii="Arial" w:hAnsi="Arial" w:cs="Arial"/>
          <w:sz w:val="20"/>
          <w:lang w:val="en-US"/>
        </w:rPr>
        <w:t xml:space="preserve"> 13 </w:t>
      </w:r>
      <w:r>
        <w:rPr>
          <w:rFonts w:ascii="Arial" w:hAnsi="Arial" w:cs="Arial"/>
          <w:sz w:val="20"/>
          <w:lang w:val="en-US"/>
        </w:rPr>
        <w:t>of</w:t>
      </w:r>
      <w:r w:rsidRPr="00CE696B">
        <w:rPr>
          <w:rFonts w:ascii="Arial" w:hAnsi="Arial" w:cs="Arial"/>
          <w:sz w:val="20"/>
          <w:lang w:val="en-US"/>
        </w:rPr>
        <w:t xml:space="preserve"> </w:t>
      </w:r>
      <w:r>
        <w:rPr>
          <w:rFonts w:ascii="Arial" w:hAnsi="Arial" w:cs="Arial"/>
          <w:sz w:val="20"/>
          <w:lang w:val="en-US"/>
        </w:rPr>
        <w:t>the</w:t>
      </w:r>
      <w:r w:rsidRPr="00CE696B">
        <w:rPr>
          <w:rFonts w:ascii="Arial" w:hAnsi="Arial" w:cs="Arial"/>
          <w:sz w:val="20"/>
          <w:lang w:val="en-US"/>
        </w:rPr>
        <w:t xml:space="preserve"> </w:t>
      </w:r>
      <w:r>
        <w:rPr>
          <w:rFonts w:ascii="Arial" w:hAnsi="Arial" w:cs="Arial"/>
          <w:sz w:val="20"/>
          <w:lang w:val="en-US"/>
        </w:rPr>
        <w:t>present</w:t>
      </w:r>
      <w:r w:rsidRPr="00CE696B">
        <w:rPr>
          <w:rFonts w:ascii="Arial" w:hAnsi="Arial" w:cs="Arial"/>
          <w:sz w:val="20"/>
          <w:lang w:val="en-US"/>
        </w:rPr>
        <w:t xml:space="preserve"> </w:t>
      </w:r>
      <w:r>
        <w:rPr>
          <w:rFonts w:ascii="Arial" w:hAnsi="Arial" w:cs="Arial"/>
          <w:sz w:val="20"/>
          <w:lang w:val="en-US"/>
        </w:rPr>
        <w:t>methodology</w:t>
      </w:r>
      <w:r w:rsidRPr="00CE696B">
        <w:rPr>
          <w:rFonts w:ascii="Arial" w:hAnsi="Arial" w:cs="Arial"/>
          <w:sz w:val="20"/>
          <w:lang w:val="en-US"/>
        </w:rPr>
        <w:t>.</w:t>
      </w:r>
    </w:p>
    <w:p w:rsidR="00E60C5E" w:rsidRDefault="001F26FB">
      <w:pPr>
        <w:pStyle w:val="a7"/>
        <w:spacing w:before="120"/>
        <w:jc w:val="both"/>
        <w:rPr>
          <w:rFonts w:ascii="Arial" w:hAnsi="Arial" w:cs="Arial"/>
          <w:sz w:val="20"/>
          <w:lang w:val="en-US"/>
        </w:rPr>
      </w:pPr>
      <w:r>
        <w:rPr>
          <w:rFonts w:ascii="Arial" w:hAnsi="Arial" w:cs="Arial"/>
          <w:sz w:val="20"/>
          <w:lang w:val="en-US"/>
        </w:rPr>
        <w:t xml:space="preserve">In some cases, when an issuer announces additional securities issuing, which in opinion of the Index Committee, can lead to a period of price uncertainty </w:t>
      </w:r>
      <w:r w:rsidR="0022122B">
        <w:rPr>
          <w:rFonts w:ascii="Arial" w:hAnsi="Arial" w:cs="Arial"/>
          <w:sz w:val="20"/>
          <w:lang w:val="en-US"/>
        </w:rPr>
        <w:t xml:space="preserve">on the market, a decision on </w:t>
      </w:r>
      <w:r w:rsidR="00E60C5E">
        <w:rPr>
          <w:rFonts w:ascii="Arial" w:hAnsi="Arial" w:cs="Arial"/>
          <w:sz w:val="20"/>
          <w:lang w:val="en-US"/>
        </w:rPr>
        <w:t xml:space="preserve">temporary exclusion of the shares from the Securities list is taken. </w:t>
      </w:r>
      <w:r w:rsidR="007733F8">
        <w:rPr>
          <w:rFonts w:ascii="Arial" w:hAnsi="Arial" w:cs="Arial"/>
          <w:sz w:val="20"/>
          <w:lang w:val="en-US"/>
        </w:rPr>
        <w:t xml:space="preserve">In this case adjusting coefficient Z is re-calculated as specified in the article 11, before the beginning of a Trading day when a share is temporarily excluded from the Securities list. </w:t>
      </w:r>
    </w:p>
    <w:p w:rsidR="00E967A7" w:rsidRPr="007733F8" w:rsidRDefault="007733F8">
      <w:pPr>
        <w:pStyle w:val="a7"/>
        <w:spacing w:before="120"/>
        <w:jc w:val="both"/>
        <w:rPr>
          <w:rFonts w:ascii="Arial" w:hAnsi="Arial" w:cs="Arial"/>
          <w:sz w:val="20"/>
          <w:lang w:val="en-US"/>
        </w:rPr>
      </w:pPr>
      <w:r>
        <w:rPr>
          <w:rFonts w:ascii="Arial" w:hAnsi="Arial" w:cs="Arial"/>
          <w:sz w:val="20"/>
          <w:lang w:val="en-US"/>
        </w:rPr>
        <w:t xml:space="preserve">Index Committee takes decision on the terms of including the temporarily excluded shares into the Securities list after receiving the information from the Securities and Stock market Commission on registering results of the new issue placement and formation of new market prices. </w:t>
      </w:r>
    </w:p>
    <w:p w:rsidR="00160178" w:rsidRDefault="00160178" w:rsidP="00160178">
      <w:pPr>
        <w:pStyle w:val="a7"/>
        <w:numPr>
          <w:ilvl w:val="1"/>
          <w:numId w:val="5"/>
        </w:numPr>
        <w:spacing w:before="120"/>
        <w:jc w:val="both"/>
        <w:rPr>
          <w:rFonts w:ascii="Arial" w:hAnsi="Arial" w:cs="Arial"/>
          <w:sz w:val="20"/>
          <w:lang w:val="en-US"/>
        </w:rPr>
      </w:pPr>
      <w:smartTag w:uri="urn:schemas-microsoft-com:office:smarttags" w:element="City">
        <w:smartTag w:uri="urn:schemas-microsoft-com:office:smarttags" w:element="place">
          <w:r>
            <w:rPr>
              <w:rFonts w:ascii="Arial" w:hAnsi="Arial" w:cs="Arial"/>
              <w:sz w:val="20"/>
              <w:lang w:val="en-US"/>
            </w:rPr>
            <w:t>Split</w:t>
          </w:r>
        </w:smartTag>
      </w:smartTag>
      <w:r>
        <w:rPr>
          <w:rFonts w:ascii="Arial" w:hAnsi="Arial" w:cs="Arial"/>
          <w:sz w:val="20"/>
          <w:lang w:val="en-US"/>
        </w:rPr>
        <w:t>, reverse split, redemption of some part of stock issue, dividend reinvestment</w:t>
      </w:r>
    </w:p>
    <w:p w:rsidR="00160178" w:rsidRDefault="00160178" w:rsidP="00160178">
      <w:pPr>
        <w:pStyle w:val="a7"/>
        <w:spacing w:before="120"/>
        <w:jc w:val="both"/>
        <w:rPr>
          <w:rFonts w:ascii="Arial" w:hAnsi="Arial" w:cs="Arial"/>
          <w:sz w:val="20"/>
          <w:lang w:val="en-US"/>
        </w:rPr>
      </w:pPr>
      <w:r>
        <w:rPr>
          <w:rFonts w:ascii="Arial" w:hAnsi="Arial" w:cs="Arial"/>
          <w:sz w:val="20"/>
          <w:lang w:val="en-US"/>
        </w:rPr>
        <w:t xml:space="preserve">When securities are split up their price is decreased prorated to the ratio of the new number of securities to the old number, consequently the value of capitalization calculated as product of current prices by the new number of securities is not changed in the result of this corporate event. So there is no need to recalculate </w:t>
      </w:r>
      <w:r>
        <w:rPr>
          <w:rFonts w:ascii="Arial" w:hAnsi="Arial" w:cs="Arial"/>
          <w:b/>
          <w:bCs/>
          <w:sz w:val="20"/>
          <w:lang w:val="en-US"/>
        </w:rPr>
        <w:t>Z</w:t>
      </w:r>
      <w:r>
        <w:rPr>
          <w:rFonts w:ascii="Arial" w:hAnsi="Arial" w:cs="Arial"/>
          <w:sz w:val="20"/>
          <w:lang w:val="en-US"/>
        </w:rPr>
        <w:t xml:space="preserve"> adjusting coefficient.</w:t>
      </w:r>
    </w:p>
    <w:p w:rsidR="00160178" w:rsidRDefault="00633573" w:rsidP="00160178">
      <w:pPr>
        <w:pStyle w:val="a7"/>
        <w:spacing w:before="120"/>
        <w:jc w:val="both"/>
        <w:rPr>
          <w:rFonts w:ascii="Arial" w:hAnsi="Arial" w:cs="Arial"/>
          <w:sz w:val="20"/>
          <w:lang w:val="en-US"/>
        </w:rPr>
      </w:pPr>
      <w:r>
        <w:rPr>
          <w:rFonts w:ascii="Arial" w:hAnsi="Arial" w:cs="Arial"/>
          <w:sz w:val="20"/>
          <w:lang w:val="en-US"/>
        </w:rPr>
        <w:t xml:space="preserve">Dividend reinvestment (increase of the equity capital through dividends) is </w:t>
      </w:r>
      <w:r w:rsidR="00160178">
        <w:rPr>
          <w:rFonts w:ascii="Arial" w:hAnsi="Arial" w:cs="Arial"/>
          <w:sz w:val="20"/>
          <w:lang w:val="en-US"/>
        </w:rPr>
        <w:t xml:space="preserve">perceived by the market as splitting-up, so </w:t>
      </w:r>
      <w:r w:rsidR="00160178">
        <w:rPr>
          <w:rFonts w:ascii="Arial" w:hAnsi="Arial" w:cs="Arial"/>
          <w:b/>
          <w:bCs/>
          <w:sz w:val="20"/>
          <w:lang w:val="en-US"/>
        </w:rPr>
        <w:t>Z</w:t>
      </w:r>
      <w:r w:rsidR="00160178">
        <w:rPr>
          <w:rFonts w:ascii="Arial" w:hAnsi="Arial" w:cs="Arial"/>
          <w:sz w:val="20"/>
          <w:lang w:val="en-US"/>
        </w:rPr>
        <w:t xml:space="preserve"> coefficient is also not recalculated.</w:t>
      </w:r>
    </w:p>
    <w:p w:rsidR="00633573" w:rsidRDefault="00633573" w:rsidP="00633573">
      <w:pPr>
        <w:pStyle w:val="a7"/>
        <w:spacing w:before="120"/>
        <w:jc w:val="both"/>
        <w:rPr>
          <w:rFonts w:ascii="Arial" w:hAnsi="Arial" w:cs="Arial"/>
          <w:sz w:val="20"/>
          <w:lang w:val="en-US"/>
        </w:rPr>
      </w:pPr>
      <w:r>
        <w:rPr>
          <w:rFonts w:ascii="Arial" w:hAnsi="Arial" w:cs="Arial"/>
          <w:sz w:val="20"/>
          <w:lang w:val="en-US"/>
        </w:rPr>
        <w:t xml:space="preserve">Reverse split and redemption of some part of stock issue can be interpreted as "securities' splitting-up with converse factor" so </w:t>
      </w:r>
      <w:r>
        <w:rPr>
          <w:rFonts w:ascii="Arial" w:hAnsi="Arial" w:cs="Arial"/>
          <w:b/>
          <w:bCs/>
          <w:sz w:val="20"/>
          <w:lang w:val="en-US"/>
        </w:rPr>
        <w:t>Z</w:t>
      </w:r>
      <w:r>
        <w:rPr>
          <w:rFonts w:ascii="Arial" w:hAnsi="Arial" w:cs="Arial"/>
          <w:sz w:val="20"/>
          <w:lang w:val="en-US"/>
        </w:rPr>
        <w:t xml:space="preserve"> coefficient is also not recalculated.</w:t>
      </w:r>
    </w:p>
    <w:p w:rsidR="00893181" w:rsidRDefault="00893181" w:rsidP="00893181">
      <w:pPr>
        <w:pStyle w:val="a7"/>
        <w:numPr>
          <w:ilvl w:val="1"/>
          <w:numId w:val="5"/>
        </w:numPr>
        <w:spacing w:before="120"/>
        <w:jc w:val="both"/>
        <w:rPr>
          <w:rFonts w:ascii="Arial" w:hAnsi="Arial" w:cs="Arial"/>
          <w:sz w:val="20"/>
          <w:lang w:val="en-US"/>
        </w:rPr>
      </w:pPr>
      <w:r>
        <w:rPr>
          <w:rFonts w:ascii="Arial" w:hAnsi="Arial" w:cs="Arial"/>
          <w:sz w:val="20"/>
          <w:lang w:val="en-US"/>
        </w:rPr>
        <w:t>Reorganization of joint stock company</w:t>
      </w:r>
    </w:p>
    <w:p w:rsidR="00893181" w:rsidRDefault="00893181" w:rsidP="00893181">
      <w:pPr>
        <w:pStyle w:val="a7"/>
        <w:spacing w:before="120"/>
        <w:jc w:val="both"/>
        <w:rPr>
          <w:rFonts w:ascii="Arial" w:hAnsi="Arial" w:cs="Arial"/>
          <w:sz w:val="20"/>
          <w:lang w:val="en-US"/>
        </w:rPr>
      </w:pPr>
      <w:r>
        <w:rPr>
          <w:rFonts w:ascii="Arial" w:hAnsi="Arial" w:cs="Arial"/>
          <w:sz w:val="20"/>
          <w:lang w:val="en-US"/>
        </w:rPr>
        <w:t>When a joint stock company is reorganized, the Exchange performs certai</w:t>
      </w:r>
      <w:r w:rsidR="0041111A">
        <w:rPr>
          <w:rFonts w:ascii="Arial" w:hAnsi="Arial" w:cs="Arial"/>
          <w:sz w:val="20"/>
          <w:lang w:val="en-US"/>
        </w:rPr>
        <w:t>n actions aimed at including this factor</w:t>
      </w:r>
      <w:r w:rsidR="004E6B14">
        <w:rPr>
          <w:rFonts w:ascii="Arial" w:hAnsi="Arial" w:cs="Arial"/>
          <w:sz w:val="20"/>
          <w:lang w:val="en-US"/>
        </w:rPr>
        <w:t xml:space="preserve"> into the Index calculation. </w:t>
      </w:r>
      <w:r>
        <w:rPr>
          <w:rFonts w:ascii="Arial" w:hAnsi="Arial" w:cs="Arial"/>
          <w:sz w:val="20"/>
          <w:lang w:val="en-US"/>
        </w:rPr>
        <w:t>Depending on the form of reorganization there can be different actions ta</w:t>
      </w:r>
      <w:r w:rsidR="004E6B14">
        <w:rPr>
          <w:rFonts w:ascii="Arial" w:hAnsi="Arial" w:cs="Arial"/>
          <w:sz w:val="20"/>
          <w:lang w:val="en-US"/>
        </w:rPr>
        <w:t>ken. It is up to the Index</w:t>
      </w:r>
      <w:r>
        <w:rPr>
          <w:rFonts w:ascii="Arial" w:hAnsi="Arial" w:cs="Arial"/>
          <w:sz w:val="20"/>
          <w:lang w:val="en-US"/>
        </w:rPr>
        <w:t xml:space="preserve"> Committee to choose a suitable action. The information on the taken decisions is published on </w:t>
      </w:r>
      <w:r w:rsidR="004E6B14">
        <w:rPr>
          <w:rFonts w:ascii="Arial" w:hAnsi="Arial" w:cs="Arial"/>
          <w:sz w:val="20"/>
          <w:lang w:val="en-US"/>
        </w:rPr>
        <w:t>Exchange’s</w:t>
      </w:r>
      <w:r w:rsidR="00236415">
        <w:rPr>
          <w:rFonts w:ascii="Arial" w:hAnsi="Arial" w:cs="Arial"/>
          <w:sz w:val="20"/>
          <w:lang w:val="en-US"/>
        </w:rPr>
        <w:t xml:space="preserve"> web</w:t>
      </w:r>
      <w:r>
        <w:rPr>
          <w:rFonts w:ascii="Arial" w:hAnsi="Arial" w:cs="Arial"/>
          <w:sz w:val="20"/>
          <w:lang w:val="en-US"/>
        </w:rPr>
        <w:t xml:space="preserve">site. </w:t>
      </w:r>
    </w:p>
    <w:p w:rsidR="004E6B14" w:rsidRDefault="004E6B14" w:rsidP="004E6B14">
      <w:pPr>
        <w:pStyle w:val="a7"/>
        <w:spacing w:before="120"/>
        <w:jc w:val="both"/>
        <w:rPr>
          <w:rFonts w:ascii="Arial" w:hAnsi="Arial" w:cs="Arial"/>
          <w:sz w:val="20"/>
          <w:lang w:val="en-US"/>
        </w:rPr>
      </w:pPr>
      <w:r>
        <w:rPr>
          <w:rFonts w:ascii="Arial" w:hAnsi="Arial" w:cs="Arial"/>
          <w:sz w:val="20"/>
          <w:lang w:val="en-US"/>
        </w:rPr>
        <w:t>Model procedure in case of reorganization:</w:t>
      </w:r>
    </w:p>
    <w:p w:rsidR="004E6B14" w:rsidRDefault="004E6B14" w:rsidP="004E6B14">
      <w:pPr>
        <w:pStyle w:val="a7"/>
        <w:numPr>
          <w:ilvl w:val="2"/>
          <w:numId w:val="5"/>
        </w:numPr>
        <w:spacing w:before="120"/>
        <w:jc w:val="both"/>
        <w:rPr>
          <w:rFonts w:ascii="Arial" w:hAnsi="Arial" w:cs="Arial"/>
          <w:sz w:val="20"/>
          <w:lang w:val="en-US"/>
        </w:rPr>
      </w:pPr>
      <w:r>
        <w:rPr>
          <w:rFonts w:ascii="Arial" w:hAnsi="Arial" w:cs="Arial"/>
          <w:sz w:val="20"/>
          <w:lang w:val="en-US"/>
        </w:rPr>
        <w:t>Merger of joint stock companies</w:t>
      </w:r>
    </w:p>
    <w:p w:rsidR="004E6B14" w:rsidRDefault="004E6B14" w:rsidP="004E6B14">
      <w:pPr>
        <w:pStyle w:val="a7"/>
        <w:spacing w:before="120"/>
        <w:jc w:val="both"/>
        <w:rPr>
          <w:rFonts w:ascii="Arial" w:hAnsi="Arial" w:cs="Arial"/>
          <w:sz w:val="20"/>
          <w:lang w:val="en-US"/>
        </w:rPr>
      </w:pPr>
      <w:r>
        <w:rPr>
          <w:rFonts w:ascii="Arial" w:hAnsi="Arial" w:cs="Arial"/>
          <w:sz w:val="20"/>
          <w:lang w:val="en-US"/>
        </w:rPr>
        <w:t xml:space="preserve">In case of merger, reorganized companies are excluded from the Index. </w:t>
      </w:r>
    </w:p>
    <w:p w:rsidR="004E6B14" w:rsidRDefault="004E6B14" w:rsidP="004E6B14">
      <w:pPr>
        <w:pStyle w:val="a7"/>
        <w:spacing w:before="120"/>
        <w:jc w:val="both"/>
        <w:rPr>
          <w:rFonts w:ascii="Arial" w:hAnsi="Arial" w:cs="Arial"/>
          <w:sz w:val="20"/>
          <w:lang w:val="en-US"/>
        </w:rPr>
      </w:pPr>
      <w:r>
        <w:rPr>
          <w:rFonts w:ascii="Arial" w:hAnsi="Arial" w:cs="Arial"/>
          <w:sz w:val="20"/>
          <w:lang w:val="en-US"/>
        </w:rPr>
        <w:t>In certain cases a decision can be taken to include the stocks of the new company created by merger into the Index list.</w:t>
      </w:r>
    </w:p>
    <w:p w:rsidR="004E6B14" w:rsidRDefault="004E6B14" w:rsidP="004E6B14">
      <w:pPr>
        <w:pStyle w:val="a7"/>
        <w:spacing w:before="120"/>
        <w:jc w:val="both"/>
        <w:rPr>
          <w:rFonts w:ascii="Arial" w:hAnsi="Arial" w:cs="Arial"/>
          <w:sz w:val="20"/>
          <w:lang w:val="en-US"/>
        </w:rPr>
      </w:pPr>
      <w:r>
        <w:rPr>
          <w:rFonts w:ascii="Arial" w:hAnsi="Arial" w:cs="Arial"/>
          <w:sz w:val="20"/>
          <w:lang w:val="en-US"/>
        </w:rPr>
        <w:t>To avoid Index leaping fluctuations as a result of changes to the Index list of securities, a new Z coefficient is calculated under clause 11.</w:t>
      </w:r>
    </w:p>
    <w:p w:rsidR="004E6B14" w:rsidRDefault="004E6B14" w:rsidP="004E6B14">
      <w:pPr>
        <w:pStyle w:val="a7"/>
        <w:numPr>
          <w:ilvl w:val="2"/>
          <w:numId w:val="5"/>
        </w:numPr>
        <w:spacing w:before="120"/>
        <w:jc w:val="both"/>
        <w:rPr>
          <w:rFonts w:ascii="Arial" w:hAnsi="Arial" w:cs="Arial"/>
          <w:sz w:val="20"/>
          <w:lang w:val="en-US"/>
        </w:rPr>
      </w:pPr>
      <w:bookmarkStart w:id="1" w:name="_Ref171506415"/>
      <w:r>
        <w:rPr>
          <w:rFonts w:ascii="Arial" w:hAnsi="Arial" w:cs="Arial"/>
          <w:sz w:val="20"/>
          <w:lang w:val="en-US"/>
        </w:rPr>
        <w:t>Reorganization of a joint stock company in the form of spin off or split off</w:t>
      </w:r>
    </w:p>
    <w:bookmarkEnd w:id="1"/>
    <w:p w:rsidR="004E6B14" w:rsidRDefault="004E6B14">
      <w:pPr>
        <w:pStyle w:val="a7"/>
        <w:spacing w:before="120"/>
        <w:jc w:val="both"/>
        <w:rPr>
          <w:rFonts w:ascii="Arial" w:hAnsi="Arial" w:cs="Arial"/>
          <w:sz w:val="20"/>
          <w:lang w:val="en-US"/>
        </w:rPr>
      </w:pPr>
      <w:r>
        <w:rPr>
          <w:rFonts w:ascii="Arial" w:hAnsi="Arial" w:cs="Arial"/>
          <w:sz w:val="20"/>
          <w:lang w:val="en-US"/>
        </w:rPr>
        <w:t>In case of spin off or split off capitalization of the company’s securities is decreased proportionally to the cost of property that is transferred to the new joint stock company in accordance with separation balance sheet or on the basis of market property valuation</w:t>
      </w:r>
    </w:p>
    <w:p w:rsidR="004E6B14" w:rsidRDefault="004E6B14" w:rsidP="004E6B14">
      <w:pPr>
        <w:pStyle w:val="a7"/>
        <w:spacing w:before="120"/>
        <w:jc w:val="both"/>
        <w:rPr>
          <w:rFonts w:ascii="Arial" w:hAnsi="Arial" w:cs="Arial"/>
          <w:sz w:val="20"/>
          <w:lang w:val="en-US"/>
        </w:rPr>
      </w:pPr>
      <w:r>
        <w:rPr>
          <w:rFonts w:ascii="Arial" w:hAnsi="Arial" w:cs="Arial"/>
          <w:sz w:val="20"/>
          <w:lang w:val="en-US"/>
        </w:rPr>
        <w:t>Capitalization is decreased on the basis of the results of the last trading day when shares of a company which has not yet been reorganized, are trading. Depending on the reorganization procedure capitalization is decreased through security’s price reduction, security’s number cut or free-float coefficient decrease.</w:t>
      </w:r>
    </w:p>
    <w:p w:rsidR="004E6B14" w:rsidRDefault="004E6B14" w:rsidP="004E6B14">
      <w:pPr>
        <w:pStyle w:val="a7"/>
        <w:spacing w:before="120"/>
        <w:jc w:val="both"/>
        <w:rPr>
          <w:rFonts w:ascii="Arial" w:hAnsi="Arial" w:cs="Arial"/>
          <w:sz w:val="20"/>
          <w:lang w:val="en-US"/>
        </w:rPr>
      </w:pPr>
      <w:r>
        <w:rPr>
          <w:rFonts w:ascii="Arial" w:hAnsi="Arial" w:cs="Arial"/>
          <w:sz w:val="20"/>
          <w:lang w:val="en-US"/>
        </w:rPr>
        <w:t xml:space="preserve">If it is impossible to evaluate the property to be transferred the Index Committee can take a decision to fix the price and number of issued securities in the Index as of a day preceding the start of trading in securities of the reorganized company. After the start of trading securities of the reorganized company, the price is marked to the market. The number of issued securities can be updated if necessary. </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To avoid Index leaping fluctuations as a result of changes to the price of the company going through reorganization a new Z coefficient is calculated under clause 11.</w:t>
      </w:r>
    </w:p>
    <w:p w:rsidR="006A17C5" w:rsidRDefault="006A17C5" w:rsidP="006A17C5">
      <w:pPr>
        <w:pStyle w:val="a7"/>
        <w:numPr>
          <w:ilvl w:val="2"/>
          <w:numId w:val="5"/>
        </w:numPr>
        <w:spacing w:before="120"/>
        <w:jc w:val="both"/>
        <w:rPr>
          <w:rFonts w:ascii="Arial" w:hAnsi="Arial" w:cs="Arial"/>
          <w:sz w:val="20"/>
          <w:lang w:val="en-US"/>
        </w:rPr>
      </w:pPr>
      <w:r>
        <w:rPr>
          <w:rFonts w:ascii="Arial" w:hAnsi="Arial" w:cs="Arial"/>
          <w:sz w:val="20"/>
          <w:lang w:val="en-US"/>
        </w:rPr>
        <w:t>Reorganization of a joint stock company in the form of affiliation</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lastRenderedPageBreak/>
        <w:t>If a joint stock company the stocks of which are included into the Index list affiliates another joint stock company, the total market capitalization in the Index increases in proportion to the assets of the affiliated company. If the stocks of the affiliated company are circulated on the exchange market the assets of the affiliated company are evaluated on the basis of the current market prices with the conversion rate taken into account. The increase of capitalization is estimated by the results of the last trading day prior to reorganization. Capitalization increases due to the increased number of stocks issued or growth of the free-float coefficient.</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 xml:space="preserve">If it is impossible to evaluate the property of the affiliated company the Index Committee can take the decision to fix the price and number of issued securities in the Index as of some day preceding the start of trading in securities of the reorganized company. After the start of trading securities price is marked to the market. The number of issued securities can be updated if necessary. </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To avoid Index leaping fluctuations as a result of changes to the price of the company going through reorganization a new Z coefficient is calculated under clause 11.</w:t>
      </w:r>
    </w:p>
    <w:p w:rsidR="006A17C5" w:rsidRPr="006A17C5" w:rsidRDefault="006A17C5" w:rsidP="006A17C5">
      <w:pPr>
        <w:numPr>
          <w:ilvl w:val="0"/>
          <w:numId w:val="5"/>
        </w:numPr>
        <w:spacing w:before="284"/>
        <w:rPr>
          <w:rFonts w:ascii="Arial" w:hAnsi="Arial" w:cs="Arial"/>
          <w:b/>
          <w:bCs/>
          <w:sz w:val="20"/>
          <w:lang w:val="en-US"/>
        </w:rPr>
      </w:pPr>
      <w:r w:rsidRPr="006A17C5">
        <w:rPr>
          <w:rFonts w:ascii="Arial" w:hAnsi="Arial" w:cs="Arial"/>
          <w:b/>
          <w:bCs/>
          <w:sz w:val="20"/>
          <w:lang w:val="en-US"/>
        </w:rPr>
        <w:t>Procedure of changing the Securities list</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 xml:space="preserve">Every 3 months the Index Committee takes a decision on introducing changes to the List of securities used for calculating the Index and coefficients. </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C</w:t>
      </w:r>
      <w:r>
        <w:rPr>
          <w:rFonts w:ascii="Arial" w:hAnsi="Arial" w:cs="Arial"/>
          <w:sz w:val="20"/>
          <w:vertAlign w:val="subscript"/>
          <w:lang w:val="en-US"/>
        </w:rPr>
        <w:t>i</w:t>
      </w:r>
      <w:r>
        <w:rPr>
          <w:rFonts w:ascii="Arial" w:hAnsi="Arial" w:cs="Arial"/>
          <w:sz w:val="20"/>
          <w:lang w:val="en-US"/>
        </w:rPr>
        <w:t xml:space="preserve"> coefficients are calculated on the basis of the results of the trading day preceding the day on which information on changes to the Securities list is disclosed.</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Scheduled changes to the Securities list come into force on March 15</w:t>
      </w:r>
      <w:r>
        <w:rPr>
          <w:rFonts w:ascii="Arial" w:hAnsi="Arial" w:cs="Arial"/>
          <w:sz w:val="20"/>
          <w:vertAlign w:val="superscript"/>
          <w:lang w:val="en-US"/>
        </w:rPr>
        <w:t>th</w:t>
      </w:r>
      <w:r>
        <w:rPr>
          <w:rFonts w:ascii="Arial" w:hAnsi="Arial" w:cs="Arial"/>
          <w:sz w:val="20"/>
          <w:lang w:val="en-US"/>
        </w:rPr>
        <w:t>, June 15</w:t>
      </w:r>
      <w:r>
        <w:rPr>
          <w:rFonts w:ascii="Arial" w:hAnsi="Arial" w:cs="Arial"/>
          <w:sz w:val="20"/>
          <w:vertAlign w:val="superscript"/>
          <w:lang w:val="en-US"/>
        </w:rPr>
        <w:t>th</w:t>
      </w:r>
      <w:r>
        <w:rPr>
          <w:rFonts w:ascii="Arial" w:hAnsi="Arial" w:cs="Arial"/>
          <w:sz w:val="20"/>
          <w:lang w:val="en-US"/>
        </w:rPr>
        <w:t>, September 15</w:t>
      </w:r>
      <w:r>
        <w:rPr>
          <w:rFonts w:ascii="Arial" w:hAnsi="Arial" w:cs="Arial"/>
          <w:sz w:val="20"/>
          <w:vertAlign w:val="superscript"/>
          <w:lang w:val="en-US"/>
        </w:rPr>
        <w:t>th</w:t>
      </w:r>
      <w:r>
        <w:rPr>
          <w:rFonts w:ascii="Arial" w:hAnsi="Arial" w:cs="Arial"/>
          <w:sz w:val="20"/>
          <w:lang w:val="en-US"/>
        </w:rPr>
        <w:t>, December 15</w:t>
      </w:r>
      <w:r>
        <w:rPr>
          <w:rFonts w:ascii="Arial" w:hAnsi="Arial" w:cs="Arial"/>
          <w:sz w:val="20"/>
          <w:vertAlign w:val="superscript"/>
          <w:lang w:val="en-US"/>
        </w:rPr>
        <w:t>th</w:t>
      </w:r>
      <w:r>
        <w:rPr>
          <w:rFonts w:ascii="Arial" w:hAnsi="Arial" w:cs="Arial"/>
          <w:sz w:val="20"/>
          <w:lang w:val="en-US"/>
        </w:rPr>
        <w:t>.</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Coefficients W</w:t>
      </w:r>
      <w:r>
        <w:rPr>
          <w:rFonts w:ascii="Arial" w:hAnsi="Arial" w:cs="Arial"/>
          <w:sz w:val="20"/>
          <w:vertAlign w:val="subscript"/>
          <w:lang w:val="en-US"/>
        </w:rPr>
        <w:t>i</w:t>
      </w:r>
      <w:r>
        <w:rPr>
          <w:rFonts w:ascii="Arial" w:hAnsi="Arial" w:cs="Arial"/>
          <w:sz w:val="20"/>
          <w:lang w:val="en-US"/>
        </w:rPr>
        <w:t xml:space="preserve"> can be reconsidered each time there are changes to the Securities list as soon as new information on the structure of the issuer’s property comes out and in case of unscheduled withdrawal of securities from the Index. </w:t>
      </w:r>
    </w:p>
    <w:p w:rsidR="006A17C5" w:rsidRDefault="006A17C5" w:rsidP="006A17C5">
      <w:pPr>
        <w:pStyle w:val="a7"/>
        <w:spacing w:before="120"/>
        <w:jc w:val="both"/>
        <w:rPr>
          <w:rFonts w:ascii="Arial" w:hAnsi="Arial" w:cs="Arial"/>
          <w:sz w:val="20"/>
          <w:lang w:val="en-US"/>
        </w:rPr>
      </w:pPr>
      <w:r>
        <w:rPr>
          <w:rFonts w:ascii="Arial" w:hAnsi="Arial" w:cs="Arial"/>
          <w:sz w:val="20"/>
          <w:lang w:val="en-US"/>
        </w:rPr>
        <w:t>Securities can be withdrawn from the Securities list unscheduled in case of:</w:t>
      </w:r>
    </w:p>
    <w:p w:rsidR="006A17C5" w:rsidRPr="006A17C5" w:rsidRDefault="006A17C5" w:rsidP="006A17C5">
      <w:pPr>
        <w:numPr>
          <w:ilvl w:val="0"/>
          <w:numId w:val="1"/>
        </w:numPr>
        <w:jc w:val="both"/>
        <w:rPr>
          <w:rFonts w:ascii="Arial" w:hAnsi="Arial" w:cs="Arial"/>
          <w:sz w:val="20"/>
          <w:lang w:val="en-US"/>
        </w:rPr>
      </w:pPr>
      <w:r>
        <w:rPr>
          <w:rFonts w:ascii="Arial" w:hAnsi="Arial" w:cs="Arial"/>
          <w:sz w:val="20"/>
          <w:lang w:val="en-US"/>
        </w:rPr>
        <w:t>e</w:t>
      </w:r>
      <w:r w:rsidRPr="006A17C5">
        <w:rPr>
          <w:rFonts w:ascii="Arial" w:hAnsi="Arial" w:cs="Arial"/>
          <w:sz w:val="20"/>
          <w:lang w:val="en-US"/>
        </w:rPr>
        <w:t>xclusion of the Index constituent from the list of securities admitted to trading;</w:t>
      </w:r>
    </w:p>
    <w:p w:rsidR="006A17C5" w:rsidRPr="006A17C5" w:rsidRDefault="006A17C5" w:rsidP="006A17C5">
      <w:pPr>
        <w:numPr>
          <w:ilvl w:val="0"/>
          <w:numId w:val="1"/>
        </w:numPr>
        <w:jc w:val="both"/>
        <w:rPr>
          <w:rFonts w:ascii="Arial" w:hAnsi="Arial" w:cs="Arial"/>
          <w:sz w:val="20"/>
          <w:lang w:val="en-US"/>
        </w:rPr>
      </w:pPr>
      <w:r>
        <w:rPr>
          <w:rFonts w:ascii="Arial" w:hAnsi="Arial" w:cs="Arial"/>
          <w:sz w:val="20"/>
          <w:lang w:val="en-US"/>
        </w:rPr>
        <w:t xml:space="preserve">Issuer’s corporate events (including in accordance with the provisions of </w:t>
      </w:r>
      <w:r w:rsidR="00391B8F">
        <w:rPr>
          <w:rFonts w:ascii="Arial" w:hAnsi="Arial" w:cs="Arial"/>
          <w:sz w:val="20"/>
          <w:lang w:val="en-US"/>
        </w:rPr>
        <w:t>paragraph 12.1)</w:t>
      </w:r>
    </w:p>
    <w:p w:rsidR="00391B8F" w:rsidRDefault="00391B8F" w:rsidP="00391B8F">
      <w:pPr>
        <w:pStyle w:val="a7"/>
        <w:spacing w:before="120"/>
        <w:jc w:val="both"/>
        <w:rPr>
          <w:rFonts w:ascii="Arial" w:hAnsi="Arial" w:cs="Arial"/>
          <w:sz w:val="20"/>
          <w:lang w:val="en-US"/>
        </w:rPr>
      </w:pPr>
      <w:r>
        <w:rPr>
          <w:rFonts w:ascii="Arial" w:hAnsi="Arial" w:cs="Arial"/>
          <w:sz w:val="20"/>
          <w:lang w:val="en-US"/>
        </w:rPr>
        <w:t xml:space="preserve">Securities that were temporarily excluded from the Securities list, can be included into it unscheduled in accordance with the provisions of paragraph 12.1. </w:t>
      </w:r>
    </w:p>
    <w:p w:rsidR="00391B8F" w:rsidRDefault="00391B8F" w:rsidP="00391B8F">
      <w:pPr>
        <w:pStyle w:val="a7"/>
        <w:spacing w:before="120"/>
        <w:jc w:val="both"/>
        <w:rPr>
          <w:rFonts w:ascii="Arial" w:hAnsi="Arial" w:cs="Arial"/>
          <w:sz w:val="20"/>
          <w:lang w:val="en-US"/>
        </w:rPr>
      </w:pPr>
      <w:r>
        <w:rPr>
          <w:rFonts w:ascii="Arial" w:hAnsi="Arial" w:cs="Arial"/>
          <w:sz w:val="20"/>
          <w:lang w:val="en-US"/>
        </w:rPr>
        <w:t>Notices on changes to the Securities list are posted on Exchange’s web site at least 2 weeks before such changes come into effect.</w:t>
      </w:r>
    </w:p>
    <w:p w:rsidR="00A60386" w:rsidRDefault="00A60386" w:rsidP="00A60386">
      <w:pPr>
        <w:pStyle w:val="a7"/>
        <w:spacing w:before="120"/>
        <w:jc w:val="both"/>
        <w:rPr>
          <w:rFonts w:ascii="Arial" w:hAnsi="Arial" w:cs="Arial"/>
          <w:sz w:val="20"/>
          <w:lang w:val="en-US"/>
        </w:rPr>
      </w:pPr>
      <w:r>
        <w:rPr>
          <w:rFonts w:ascii="Arial" w:hAnsi="Arial" w:cs="Arial"/>
          <w:sz w:val="20"/>
          <w:lang w:val="en-US"/>
        </w:rPr>
        <w:t>In case of events that are not described in the present methodology the Exchange decides on the actions and periods for such actions to be taken on the basis of situation analysis, disclosing the corresponding in</w:t>
      </w:r>
      <w:r w:rsidR="00236415">
        <w:rPr>
          <w:rFonts w:ascii="Arial" w:hAnsi="Arial" w:cs="Arial"/>
          <w:sz w:val="20"/>
          <w:lang w:val="en-US"/>
        </w:rPr>
        <w:t>formation on the Exchange’s web</w:t>
      </w:r>
      <w:r>
        <w:rPr>
          <w:rFonts w:ascii="Arial" w:hAnsi="Arial" w:cs="Arial"/>
          <w:sz w:val="20"/>
          <w:lang w:val="en-US"/>
        </w:rPr>
        <w:t>site.</w:t>
      </w:r>
    </w:p>
    <w:p w:rsidR="006A17C5" w:rsidRDefault="006A17C5">
      <w:pPr>
        <w:pStyle w:val="a7"/>
        <w:spacing w:before="120"/>
        <w:jc w:val="both"/>
        <w:rPr>
          <w:rFonts w:ascii="Arial" w:hAnsi="Arial" w:cs="Arial"/>
          <w:sz w:val="20"/>
          <w:lang w:val="en-US"/>
        </w:rPr>
      </w:pPr>
    </w:p>
    <w:p w:rsidR="00E967A7" w:rsidRPr="00A60386" w:rsidRDefault="00A60386" w:rsidP="00A60386">
      <w:pPr>
        <w:keepNext/>
        <w:numPr>
          <w:ilvl w:val="0"/>
          <w:numId w:val="5"/>
        </w:numPr>
        <w:spacing w:before="280"/>
        <w:jc w:val="both"/>
        <w:rPr>
          <w:rFonts w:ascii="Arial" w:hAnsi="Arial" w:cs="Arial"/>
          <w:b/>
          <w:bCs/>
          <w:sz w:val="20"/>
          <w:lang w:val="en-US"/>
        </w:rPr>
      </w:pPr>
      <w:r w:rsidRPr="00A60386">
        <w:rPr>
          <w:rFonts w:ascii="Arial" w:hAnsi="Arial" w:cs="Arial"/>
          <w:b/>
          <w:bCs/>
          <w:sz w:val="20"/>
          <w:lang w:val="en-US"/>
        </w:rPr>
        <w:t>Procedure of Index calculation control</w:t>
      </w:r>
    </w:p>
    <w:p w:rsidR="00164783" w:rsidRPr="00164783" w:rsidRDefault="00164783" w:rsidP="00164783">
      <w:pPr>
        <w:spacing w:before="280"/>
        <w:jc w:val="both"/>
        <w:rPr>
          <w:rFonts w:ascii="Arial" w:hAnsi="Arial" w:cs="Arial"/>
          <w:sz w:val="20"/>
          <w:lang w:val="en-US"/>
        </w:rPr>
      </w:pPr>
      <w:r w:rsidRPr="00164783">
        <w:rPr>
          <w:rFonts w:ascii="Arial" w:hAnsi="Arial" w:cs="Arial"/>
          <w:sz w:val="20"/>
          <w:lang w:val="en-US"/>
        </w:rPr>
        <w:t xml:space="preserve">In order to protect the Index from mistakes recalculation of the previously calculated Index values is allowed in </w:t>
      </w:r>
      <w:r>
        <w:rPr>
          <w:rFonts w:ascii="Arial" w:hAnsi="Arial" w:cs="Arial"/>
          <w:sz w:val="20"/>
          <w:lang w:val="en-US"/>
        </w:rPr>
        <w:t>case of</w:t>
      </w:r>
      <w:r w:rsidRPr="00164783">
        <w:rPr>
          <w:rFonts w:ascii="Arial" w:hAnsi="Arial" w:cs="Arial"/>
          <w:sz w:val="20"/>
          <w:lang w:val="en-US"/>
        </w:rPr>
        <w:t>:</w:t>
      </w:r>
    </w:p>
    <w:p w:rsidR="00164783" w:rsidRPr="00164783" w:rsidRDefault="00236415" w:rsidP="00164783">
      <w:pPr>
        <w:numPr>
          <w:ilvl w:val="0"/>
          <w:numId w:val="8"/>
        </w:numPr>
        <w:jc w:val="both"/>
        <w:rPr>
          <w:rFonts w:ascii="Arial" w:hAnsi="Arial" w:cs="Arial"/>
          <w:sz w:val="20"/>
          <w:lang w:val="en-US"/>
        </w:rPr>
      </w:pPr>
      <w:r>
        <w:rPr>
          <w:rFonts w:ascii="Arial" w:hAnsi="Arial" w:cs="Arial"/>
          <w:sz w:val="20"/>
          <w:lang w:val="en-US"/>
        </w:rPr>
        <w:t xml:space="preserve">a </w:t>
      </w:r>
      <w:r w:rsidR="00164783">
        <w:rPr>
          <w:rFonts w:ascii="Arial" w:hAnsi="Arial" w:cs="Arial"/>
          <w:sz w:val="20"/>
          <w:lang w:val="en-US"/>
        </w:rPr>
        <w:t>t</w:t>
      </w:r>
      <w:r w:rsidR="00164783" w:rsidRPr="00164783">
        <w:rPr>
          <w:rFonts w:ascii="Arial" w:hAnsi="Arial" w:cs="Arial"/>
          <w:sz w:val="20"/>
          <w:lang w:val="en-US"/>
        </w:rPr>
        <w:t xml:space="preserve">echnical failure </w:t>
      </w:r>
      <w:r w:rsidR="00164783">
        <w:rPr>
          <w:rFonts w:ascii="Arial" w:hAnsi="Arial" w:cs="Arial"/>
          <w:sz w:val="20"/>
          <w:lang w:val="en-US"/>
        </w:rPr>
        <w:t>during</w:t>
      </w:r>
      <w:r w:rsidR="00164783" w:rsidRPr="00164783">
        <w:rPr>
          <w:rFonts w:ascii="Arial" w:hAnsi="Arial" w:cs="Arial"/>
          <w:sz w:val="20"/>
          <w:lang w:val="en-US"/>
        </w:rPr>
        <w:t xml:space="preserve"> Index calculation,</w:t>
      </w:r>
    </w:p>
    <w:p w:rsidR="00164783" w:rsidRPr="00164783" w:rsidRDefault="00236415" w:rsidP="00164783">
      <w:pPr>
        <w:numPr>
          <w:ilvl w:val="0"/>
          <w:numId w:val="8"/>
        </w:numPr>
        <w:jc w:val="both"/>
        <w:rPr>
          <w:rFonts w:ascii="Arial" w:hAnsi="Arial" w:cs="Arial"/>
          <w:sz w:val="20"/>
          <w:lang w:val="en-US"/>
        </w:rPr>
      </w:pPr>
      <w:r>
        <w:rPr>
          <w:rFonts w:ascii="Arial" w:hAnsi="Arial" w:cs="Arial"/>
          <w:sz w:val="20"/>
          <w:lang w:val="en-US"/>
        </w:rPr>
        <w:t xml:space="preserve">a </w:t>
      </w:r>
      <w:r w:rsidR="00164783">
        <w:rPr>
          <w:rFonts w:ascii="Arial" w:hAnsi="Arial" w:cs="Arial"/>
          <w:sz w:val="20"/>
          <w:lang w:val="en-US"/>
        </w:rPr>
        <w:t>n</w:t>
      </w:r>
      <w:r w:rsidR="00164783" w:rsidRPr="00164783">
        <w:rPr>
          <w:rFonts w:ascii="Arial" w:hAnsi="Arial" w:cs="Arial"/>
          <w:sz w:val="20"/>
          <w:lang w:val="en-US"/>
        </w:rPr>
        <w:t xml:space="preserve">on-standard situation not related to market fluctuations and not provided for by the present methodology, </w:t>
      </w:r>
      <w:r w:rsidR="00164783">
        <w:rPr>
          <w:rFonts w:ascii="Arial" w:hAnsi="Arial" w:cs="Arial"/>
          <w:sz w:val="20"/>
          <w:lang w:val="en-US"/>
        </w:rPr>
        <w:t xml:space="preserve">which, </w:t>
      </w:r>
      <w:r w:rsidR="00164783" w:rsidRPr="00164783">
        <w:rPr>
          <w:rFonts w:ascii="Arial" w:hAnsi="Arial" w:cs="Arial"/>
          <w:sz w:val="20"/>
          <w:lang w:val="en-US"/>
        </w:rPr>
        <w:t>however, ha</w:t>
      </w:r>
      <w:r w:rsidR="00164783">
        <w:rPr>
          <w:rFonts w:ascii="Arial" w:hAnsi="Arial" w:cs="Arial"/>
          <w:sz w:val="20"/>
          <w:lang w:val="en-US"/>
        </w:rPr>
        <w:t>d</w:t>
      </w:r>
      <w:r w:rsidR="00164783" w:rsidRPr="00164783">
        <w:rPr>
          <w:rFonts w:ascii="Arial" w:hAnsi="Arial" w:cs="Arial"/>
          <w:sz w:val="20"/>
          <w:lang w:val="en-US"/>
        </w:rPr>
        <w:t xml:space="preserve"> a significant impact on</w:t>
      </w:r>
      <w:r w:rsidR="00164783">
        <w:rPr>
          <w:rFonts w:ascii="Arial" w:hAnsi="Arial" w:cs="Arial"/>
          <w:sz w:val="20"/>
          <w:lang w:val="en-US"/>
        </w:rPr>
        <w:t xml:space="preserve"> the</w:t>
      </w:r>
      <w:r w:rsidR="00164783" w:rsidRPr="00164783">
        <w:rPr>
          <w:rFonts w:ascii="Arial" w:hAnsi="Arial" w:cs="Arial"/>
          <w:sz w:val="20"/>
          <w:lang w:val="en-US"/>
        </w:rPr>
        <w:t xml:space="preserve"> Index.</w:t>
      </w:r>
    </w:p>
    <w:p w:rsidR="00236415" w:rsidRPr="00236415" w:rsidRDefault="00236415" w:rsidP="00236415">
      <w:pPr>
        <w:spacing w:before="280"/>
        <w:jc w:val="both"/>
        <w:rPr>
          <w:rFonts w:ascii="Arial" w:hAnsi="Arial" w:cs="Arial"/>
          <w:sz w:val="20"/>
          <w:lang w:val="en-US"/>
        </w:rPr>
      </w:pPr>
      <w:r w:rsidRPr="00236415">
        <w:rPr>
          <w:rFonts w:ascii="Arial" w:hAnsi="Arial" w:cs="Arial"/>
          <w:sz w:val="20"/>
          <w:lang w:val="en-US"/>
        </w:rPr>
        <w:t xml:space="preserve">In case of </w:t>
      </w:r>
      <w:r>
        <w:rPr>
          <w:rFonts w:ascii="Arial" w:hAnsi="Arial" w:cs="Arial"/>
          <w:sz w:val="20"/>
          <w:lang w:val="en-US"/>
        </w:rPr>
        <w:t xml:space="preserve">a </w:t>
      </w:r>
      <w:r w:rsidRPr="00236415">
        <w:rPr>
          <w:rFonts w:ascii="Arial" w:hAnsi="Arial" w:cs="Arial"/>
          <w:sz w:val="20"/>
          <w:lang w:val="en-US"/>
        </w:rPr>
        <w:t>technical failure</w:t>
      </w:r>
      <w:r>
        <w:rPr>
          <w:rFonts w:ascii="Arial" w:hAnsi="Arial" w:cs="Arial"/>
          <w:sz w:val="20"/>
          <w:lang w:val="en-US"/>
        </w:rPr>
        <w:t>,</w:t>
      </w:r>
      <w:r w:rsidRPr="00236415">
        <w:rPr>
          <w:rFonts w:ascii="Arial" w:hAnsi="Arial" w:cs="Arial"/>
          <w:sz w:val="20"/>
          <w:lang w:val="en-US"/>
        </w:rPr>
        <w:t xml:space="preserve"> the Exchange calculates the Index value again in the shortest time possible starting from the moment of spotting the error. I</w:t>
      </w:r>
      <w:r>
        <w:rPr>
          <w:rFonts w:ascii="Arial" w:hAnsi="Arial" w:cs="Arial"/>
          <w:sz w:val="20"/>
          <w:lang w:val="en-US"/>
        </w:rPr>
        <w:t>n this case the Exchange publishes the corresponding notification on its website.</w:t>
      </w:r>
    </w:p>
    <w:p w:rsidR="00E967A7" w:rsidRDefault="00236415" w:rsidP="00236415">
      <w:pPr>
        <w:keepNext/>
        <w:numPr>
          <w:ilvl w:val="0"/>
          <w:numId w:val="5"/>
        </w:numPr>
        <w:spacing w:before="280"/>
        <w:ind w:left="1077" w:hanging="1077"/>
        <w:jc w:val="both"/>
        <w:rPr>
          <w:rFonts w:ascii="Arial" w:hAnsi="Arial" w:cs="Arial"/>
          <w:b/>
          <w:bCs/>
          <w:sz w:val="20"/>
        </w:rPr>
      </w:pPr>
      <w:r>
        <w:rPr>
          <w:rFonts w:ascii="Arial" w:hAnsi="Arial" w:cs="Arial"/>
          <w:b/>
          <w:bCs/>
          <w:sz w:val="20"/>
          <w:lang w:val="en-US"/>
        </w:rPr>
        <w:t xml:space="preserve">Information </w:t>
      </w:r>
      <w:r w:rsidR="00D204D6">
        <w:rPr>
          <w:rFonts w:ascii="Arial" w:hAnsi="Arial" w:cs="Arial"/>
          <w:b/>
          <w:bCs/>
          <w:sz w:val="20"/>
          <w:lang w:val="en-US"/>
        </w:rPr>
        <w:t>D</w:t>
      </w:r>
      <w:r>
        <w:rPr>
          <w:rFonts w:ascii="Arial" w:hAnsi="Arial" w:cs="Arial"/>
          <w:b/>
          <w:bCs/>
          <w:sz w:val="20"/>
          <w:lang w:val="en-US"/>
        </w:rPr>
        <w:t>isclosure</w:t>
      </w:r>
    </w:p>
    <w:p w:rsidR="00E967A7" w:rsidRPr="00236415" w:rsidRDefault="00236415">
      <w:pPr>
        <w:spacing w:before="280"/>
        <w:jc w:val="both"/>
        <w:rPr>
          <w:rFonts w:ascii="Arial" w:hAnsi="Arial" w:cs="Arial"/>
          <w:sz w:val="20"/>
          <w:lang w:val="en-US"/>
        </w:rPr>
      </w:pPr>
      <w:r w:rsidRPr="00236415">
        <w:rPr>
          <w:rFonts w:ascii="Arial" w:hAnsi="Arial" w:cs="Arial"/>
          <w:sz w:val="20"/>
          <w:lang w:val="en-US"/>
        </w:rPr>
        <w:t xml:space="preserve">Information on Index and methodology of its calculation is disclosed on </w:t>
      </w:r>
      <w:r>
        <w:rPr>
          <w:rFonts w:ascii="Arial" w:hAnsi="Arial" w:cs="Arial"/>
          <w:sz w:val="20"/>
          <w:lang w:val="en-US"/>
        </w:rPr>
        <w:t>the</w:t>
      </w:r>
      <w:r w:rsidRPr="00236415">
        <w:rPr>
          <w:rFonts w:ascii="Arial" w:hAnsi="Arial" w:cs="Arial"/>
          <w:sz w:val="20"/>
          <w:lang w:val="en-US"/>
        </w:rPr>
        <w:t xml:space="preserve"> </w:t>
      </w:r>
      <w:r>
        <w:rPr>
          <w:rFonts w:ascii="Arial" w:hAnsi="Arial" w:cs="Arial"/>
          <w:sz w:val="20"/>
          <w:lang w:val="en-US"/>
        </w:rPr>
        <w:t>Exchange</w:t>
      </w:r>
      <w:r w:rsidRPr="00236415">
        <w:rPr>
          <w:rFonts w:ascii="Arial" w:hAnsi="Arial" w:cs="Arial"/>
          <w:sz w:val="20"/>
          <w:lang w:val="en-US"/>
        </w:rPr>
        <w:t>'</w:t>
      </w:r>
      <w:r>
        <w:rPr>
          <w:rFonts w:ascii="Arial" w:hAnsi="Arial" w:cs="Arial"/>
          <w:sz w:val="20"/>
          <w:lang w:val="en-US"/>
        </w:rPr>
        <w:t>s</w:t>
      </w:r>
      <w:r w:rsidRPr="00236415">
        <w:rPr>
          <w:rFonts w:ascii="Arial" w:hAnsi="Arial" w:cs="Arial"/>
          <w:sz w:val="20"/>
          <w:lang w:val="en-US"/>
        </w:rPr>
        <w:t xml:space="preserve"> website</w:t>
      </w:r>
      <w:r w:rsidR="00E967A7" w:rsidRPr="00236415">
        <w:rPr>
          <w:rFonts w:ascii="Arial" w:hAnsi="Arial" w:cs="Arial"/>
          <w:sz w:val="20"/>
          <w:lang w:val="en-US"/>
        </w:rPr>
        <w:t>.</w:t>
      </w:r>
    </w:p>
    <w:p w:rsidR="00236415" w:rsidRPr="00236415" w:rsidRDefault="00236415" w:rsidP="00236415">
      <w:pPr>
        <w:numPr>
          <w:ilvl w:val="0"/>
          <w:numId w:val="5"/>
        </w:numPr>
        <w:spacing w:before="280"/>
        <w:jc w:val="both"/>
        <w:rPr>
          <w:rFonts w:ascii="Arial" w:hAnsi="Arial" w:cs="Arial"/>
          <w:b/>
          <w:bCs/>
          <w:sz w:val="20"/>
          <w:lang w:val="en-US"/>
        </w:rPr>
      </w:pPr>
      <w:r w:rsidRPr="00236415">
        <w:rPr>
          <w:rFonts w:ascii="Arial" w:hAnsi="Arial" w:cs="Arial"/>
          <w:b/>
          <w:bCs/>
          <w:sz w:val="20"/>
          <w:lang w:val="en-US"/>
        </w:rPr>
        <w:lastRenderedPageBreak/>
        <w:t>Control over and Procedure of introducing changes to the calculation methodology</w:t>
      </w:r>
    </w:p>
    <w:p w:rsidR="00236415" w:rsidRPr="00236415" w:rsidRDefault="00236415">
      <w:pPr>
        <w:spacing w:before="280"/>
        <w:jc w:val="both"/>
        <w:rPr>
          <w:rFonts w:ascii="Arial" w:hAnsi="Arial" w:cs="Arial"/>
          <w:sz w:val="20"/>
          <w:lang w:val="en-US"/>
        </w:rPr>
      </w:pPr>
      <w:r w:rsidRPr="00236415">
        <w:rPr>
          <w:rFonts w:ascii="Arial" w:hAnsi="Arial" w:cs="Arial"/>
          <w:sz w:val="20"/>
          <w:lang w:val="en-US"/>
        </w:rPr>
        <w:t>The In</w:t>
      </w:r>
      <w:r>
        <w:rPr>
          <w:rFonts w:ascii="Arial" w:hAnsi="Arial" w:cs="Arial"/>
          <w:sz w:val="20"/>
          <w:lang w:val="en-US"/>
        </w:rPr>
        <w:t>dex</w:t>
      </w:r>
      <w:r w:rsidRPr="00236415">
        <w:rPr>
          <w:rFonts w:ascii="Arial" w:hAnsi="Arial" w:cs="Arial"/>
          <w:sz w:val="20"/>
          <w:lang w:val="en-US"/>
        </w:rPr>
        <w:t xml:space="preserve"> Committee exercises general control over Index calculation and comes up with initiatives on introduction of changes into the methodology of Index calculation.</w:t>
      </w:r>
      <w:r>
        <w:rPr>
          <w:rFonts w:ascii="Arial" w:hAnsi="Arial" w:cs="Arial"/>
          <w:lang w:val="en-US"/>
        </w:rPr>
        <w:t xml:space="preserve"> </w:t>
      </w:r>
      <w:r w:rsidRPr="00236415">
        <w:rPr>
          <w:rFonts w:ascii="Arial" w:hAnsi="Arial" w:cs="Arial"/>
          <w:sz w:val="20"/>
          <w:lang w:val="en-US"/>
        </w:rPr>
        <w:t>The methodology of Index calculation is subject to approval by</w:t>
      </w:r>
      <w:r>
        <w:rPr>
          <w:rFonts w:ascii="Arial" w:hAnsi="Arial" w:cs="Arial"/>
          <w:sz w:val="20"/>
          <w:lang w:val="en-US"/>
        </w:rPr>
        <w:t xml:space="preserve"> the Exchange Committee. </w:t>
      </w:r>
    </w:p>
    <w:sectPr w:rsidR="00236415" w:rsidRPr="00236415" w:rsidSect="00EF30B4">
      <w:headerReference w:type="default" r:id="rId41"/>
      <w:footerReference w:type="default" r:id="rId42"/>
      <w:footerReference w:type="first" r:id="rId43"/>
      <w:pgSz w:w="11906" w:h="16838" w:code="9"/>
      <w:pgMar w:top="1440" w:right="1418" w:bottom="1440" w:left="1797" w:header="720" w:footer="720" w:gutter="0"/>
      <w:cols w:space="709" w:equalWidth="0">
        <w:col w:w="8691"/>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22D" w:rsidRDefault="00D0022D">
      <w:r>
        <w:separator/>
      </w:r>
    </w:p>
  </w:endnote>
  <w:endnote w:type="continuationSeparator" w:id="1">
    <w:p w:rsidR="00D0022D" w:rsidRDefault="00D002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3" w:rsidRDefault="004768C3">
    <w:pPr>
      <w:pStyle w:val="a4"/>
      <w:pBdr>
        <w:top w:val="single" w:sz="4" w:space="1" w:color="auto"/>
      </w:pBdr>
      <w:jc w:val="right"/>
    </w:pPr>
    <w:r>
      <w:rPr>
        <w:lang w:val="en-US"/>
      </w:rPr>
      <w:t>page</w:t>
    </w:r>
    <w:r>
      <w:t xml:space="preserve"> </w:t>
    </w:r>
    <w:fldSimple w:instr=" PAGE ">
      <w:r w:rsidR="00CE696B">
        <w:rPr>
          <w:noProof/>
        </w:rPr>
        <w:t>2</w:t>
      </w:r>
    </w:fldSimple>
    <w:r>
      <w:t xml:space="preserve"> </w:t>
    </w:r>
    <w:r>
      <w:rPr>
        <w:lang w:val="en-US"/>
      </w:rPr>
      <w:t>of</w:t>
    </w:r>
    <w:r>
      <w:t xml:space="preserve"> </w:t>
    </w:r>
    <w:fldSimple w:instr=" NUMPAGES ">
      <w:r w:rsidR="00CE696B">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3" w:rsidRDefault="004768C3">
    <w:pPr>
      <w:pStyle w:val="a4"/>
      <w:pBdr>
        <w:top w:val="single" w:sz="4" w:space="1" w:color="auto"/>
      </w:pBdr>
      <w:tabs>
        <w:tab w:val="clear" w:pos="4320"/>
        <w:tab w:val="clear" w:pos="8640"/>
        <w:tab w:val="left" w:pos="7513"/>
      </w:tabs>
    </w:pPr>
    <w:r>
      <w:rPr>
        <w:color w:val="808080"/>
        <w:sz w:val="16"/>
        <w:lang w:val="en-US"/>
      </w:rPr>
      <w:t>Document</w:t>
    </w:r>
    <w:r>
      <w:rPr>
        <w:color w:val="808080"/>
        <w:sz w:val="16"/>
      </w:rPr>
      <w:t xml:space="preserve"> №20081210</w:t>
    </w:r>
    <w:r>
      <w:rPr>
        <w:color w:val="808080"/>
        <w:sz w:val="16"/>
      </w:rPr>
      <w:tab/>
    </w:r>
    <w:r>
      <w:rPr>
        <w:lang w:val="en-US"/>
      </w:rPr>
      <w:t>page</w:t>
    </w:r>
    <w:r>
      <w:t xml:space="preserve"> </w:t>
    </w:r>
    <w:fldSimple w:instr=" PAGE ">
      <w:r w:rsidR="00CE696B">
        <w:rPr>
          <w:noProof/>
        </w:rPr>
        <w:t>1</w:t>
      </w:r>
    </w:fldSimple>
    <w:r>
      <w:t xml:space="preserve"> </w:t>
    </w:r>
    <w:r>
      <w:rPr>
        <w:lang w:val="en-US"/>
      </w:rPr>
      <w:t>of</w:t>
    </w:r>
    <w:r>
      <w:t xml:space="preserve"> </w:t>
    </w:r>
    <w:fldSimple w:instr=" NUMPAGES ">
      <w:r w:rsidR="00CE696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22D" w:rsidRDefault="00D0022D">
      <w:r>
        <w:separator/>
      </w:r>
    </w:p>
  </w:footnote>
  <w:footnote w:type="continuationSeparator" w:id="1">
    <w:p w:rsidR="00D0022D" w:rsidRDefault="00D00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3" w:rsidRDefault="004768C3">
    <w:pPr>
      <w:pStyle w:val="a6"/>
      <w:pBdr>
        <w:bottom w:val="single" w:sz="4" w:space="1" w:color="auto"/>
      </w:pBdr>
      <w:jc w:val="right"/>
    </w:pPr>
    <w:r>
      <w:rPr>
        <w:lang w:val="en-US"/>
      </w:rPr>
      <w:t>Methodology of UX Index calculation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55842"/>
    <w:multiLevelType w:val="hybridMultilevel"/>
    <w:tmpl w:val="2DC064D0"/>
    <w:lvl w:ilvl="0" w:tplc="9244CD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E187A7D"/>
    <w:multiLevelType w:val="hybridMultilevel"/>
    <w:tmpl w:val="EFA63D24"/>
    <w:lvl w:ilvl="0" w:tplc="F2647142">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351223E4"/>
    <w:multiLevelType w:val="hybridMultilevel"/>
    <w:tmpl w:val="415E1B1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2574FD5"/>
    <w:multiLevelType w:val="hybridMultilevel"/>
    <w:tmpl w:val="51429F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3F46D882">
      <w:start w:val="1"/>
      <w:numFmt w:val="bullet"/>
      <w:lvlText w:val="-"/>
      <w:lvlJc w:val="left"/>
      <w:pPr>
        <w:tabs>
          <w:tab w:val="num" w:pos="5760"/>
        </w:tabs>
        <w:ind w:left="5760" w:hanging="360"/>
      </w:pPr>
      <w:rPr>
        <w:rFonts w:ascii="Times New Roman" w:eastAsia="Times New Roman" w:hAnsi="Times New Roman" w:cs="Times New Roman" w:hint="default"/>
      </w:rPr>
    </w:lvl>
    <w:lvl w:ilvl="8" w:tplc="0419001B" w:tentative="1">
      <w:start w:val="1"/>
      <w:numFmt w:val="lowerRoman"/>
      <w:lvlText w:val="%9."/>
      <w:lvlJc w:val="right"/>
      <w:pPr>
        <w:tabs>
          <w:tab w:val="num" w:pos="6480"/>
        </w:tabs>
        <w:ind w:left="6480" w:hanging="180"/>
      </w:pPr>
    </w:lvl>
  </w:abstractNum>
  <w:abstractNum w:abstractNumId="4">
    <w:nsid w:val="4EA548E0"/>
    <w:multiLevelType w:val="hybridMultilevel"/>
    <w:tmpl w:val="873A43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0300E0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510212D1"/>
    <w:multiLevelType w:val="hybridMultilevel"/>
    <w:tmpl w:val="3C46D366"/>
    <w:lvl w:ilvl="0" w:tplc="B7326970">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4"/>
  </w:num>
  <w:num w:numId="3">
    <w:abstractNumId w:val="3"/>
  </w:num>
  <w:num w:numId="4">
    <w:abstractNumId w:val="6"/>
  </w:num>
  <w:num w:numId="5">
    <w:abstractNumId w:val="5"/>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9C28C1"/>
    <w:rsid w:val="00080AF5"/>
    <w:rsid w:val="000B73BF"/>
    <w:rsid w:val="000C526A"/>
    <w:rsid w:val="00160178"/>
    <w:rsid w:val="00164783"/>
    <w:rsid w:val="001A0361"/>
    <w:rsid w:val="001E717D"/>
    <w:rsid w:val="001F26FB"/>
    <w:rsid w:val="002031AB"/>
    <w:rsid w:val="00213380"/>
    <w:rsid w:val="0022122B"/>
    <w:rsid w:val="00236415"/>
    <w:rsid w:val="00275D4B"/>
    <w:rsid w:val="0028294D"/>
    <w:rsid w:val="002953B6"/>
    <w:rsid w:val="003067D7"/>
    <w:rsid w:val="003536BE"/>
    <w:rsid w:val="00391B8F"/>
    <w:rsid w:val="003E1FC3"/>
    <w:rsid w:val="0041111A"/>
    <w:rsid w:val="00426009"/>
    <w:rsid w:val="004768C3"/>
    <w:rsid w:val="00491333"/>
    <w:rsid w:val="004E268A"/>
    <w:rsid w:val="004E6B14"/>
    <w:rsid w:val="00502FCA"/>
    <w:rsid w:val="005127BF"/>
    <w:rsid w:val="00514CA1"/>
    <w:rsid w:val="00530A74"/>
    <w:rsid w:val="005715E1"/>
    <w:rsid w:val="005734A5"/>
    <w:rsid w:val="005D3F08"/>
    <w:rsid w:val="005E09FD"/>
    <w:rsid w:val="00600F90"/>
    <w:rsid w:val="006141A6"/>
    <w:rsid w:val="006144A6"/>
    <w:rsid w:val="00633573"/>
    <w:rsid w:val="0064092D"/>
    <w:rsid w:val="006A17C5"/>
    <w:rsid w:val="00703F22"/>
    <w:rsid w:val="00726927"/>
    <w:rsid w:val="007400EF"/>
    <w:rsid w:val="0076246C"/>
    <w:rsid w:val="007733F8"/>
    <w:rsid w:val="0087704E"/>
    <w:rsid w:val="00893181"/>
    <w:rsid w:val="008E4CB0"/>
    <w:rsid w:val="00923B30"/>
    <w:rsid w:val="00977B32"/>
    <w:rsid w:val="009C28C1"/>
    <w:rsid w:val="00A201C5"/>
    <w:rsid w:val="00A53C1B"/>
    <w:rsid w:val="00A60386"/>
    <w:rsid w:val="00B034F9"/>
    <w:rsid w:val="00B94577"/>
    <w:rsid w:val="00BB12E5"/>
    <w:rsid w:val="00C077BC"/>
    <w:rsid w:val="00C101D7"/>
    <w:rsid w:val="00C25800"/>
    <w:rsid w:val="00CE696B"/>
    <w:rsid w:val="00CF0DFE"/>
    <w:rsid w:val="00D0022D"/>
    <w:rsid w:val="00D204D6"/>
    <w:rsid w:val="00DA7A2D"/>
    <w:rsid w:val="00E04BDA"/>
    <w:rsid w:val="00E33586"/>
    <w:rsid w:val="00E567AB"/>
    <w:rsid w:val="00E60C5E"/>
    <w:rsid w:val="00E64319"/>
    <w:rsid w:val="00E72E44"/>
    <w:rsid w:val="00E967A7"/>
    <w:rsid w:val="00EF30B4"/>
    <w:rsid w:val="00F35740"/>
    <w:rsid w:val="00F47712"/>
    <w:rsid w:val="00F54FD7"/>
    <w:rsid w:val="00F72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0B4"/>
    <w:rPr>
      <w:sz w:val="24"/>
    </w:rPr>
  </w:style>
  <w:style w:type="paragraph" w:styleId="1">
    <w:name w:val="heading 1"/>
    <w:basedOn w:val="a"/>
    <w:next w:val="a"/>
    <w:qFormat/>
    <w:rsid w:val="00EF30B4"/>
    <w:pPr>
      <w:keepNext/>
      <w:spacing w:before="240" w:after="60"/>
      <w:outlineLvl w:val="0"/>
    </w:pPr>
    <w:rPr>
      <w:rFonts w:ascii="Arial CYR" w:hAnsi="Arial CYR"/>
      <w:b/>
      <w:kern w:val="28"/>
      <w:sz w:val="28"/>
    </w:rPr>
  </w:style>
  <w:style w:type="paragraph" w:styleId="2">
    <w:name w:val="heading 2"/>
    <w:basedOn w:val="a"/>
    <w:next w:val="a"/>
    <w:qFormat/>
    <w:rsid w:val="00EF30B4"/>
    <w:pPr>
      <w:keepNext/>
      <w:spacing w:before="280"/>
      <w:jc w:val="both"/>
      <w:outlineLvl w:val="1"/>
    </w:pPr>
    <w:rPr>
      <w:b/>
      <w:bCs/>
      <w:sz w:val="28"/>
    </w:rPr>
  </w:style>
  <w:style w:type="paragraph" w:styleId="3">
    <w:name w:val="heading 3"/>
    <w:basedOn w:val="a"/>
    <w:next w:val="a"/>
    <w:qFormat/>
    <w:rsid w:val="00EF30B4"/>
    <w:pPr>
      <w:keepNext/>
      <w:jc w:val="center"/>
      <w:outlineLvl w:val="2"/>
    </w:pPr>
    <w:rPr>
      <w:b/>
      <w:bCs/>
    </w:rPr>
  </w:style>
  <w:style w:type="paragraph" w:styleId="4">
    <w:name w:val="heading 4"/>
    <w:basedOn w:val="a"/>
    <w:next w:val="a"/>
    <w:qFormat/>
    <w:rsid w:val="00EF30B4"/>
    <w:pPr>
      <w:keepNext/>
      <w:spacing w:before="120" w:after="120"/>
      <w:outlineLvl w:val="3"/>
    </w:pPr>
  </w:style>
  <w:style w:type="paragraph" w:styleId="7">
    <w:name w:val="heading 7"/>
    <w:basedOn w:val="a"/>
    <w:next w:val="a"/>
    <w:qFormat/>
    <w:rsid w:val="00EF30B4"/>
    <w:pPr>
      <w:outlineLvl w:val="6"/>
    </w:pPr>
    <w:rPr>
      <w:rFonts w:ascii="Antiqua" w:hAnsi="Antiqua"/>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F30B4"/>
    <w:rPr>
      <w:lang w:val="en-AU"/>
    </w:rPr>
  </w:style>
  <w:style w:type="character" w:customStyle="1" w:styleId="11">
    <w:name w:val="Основной шрифт абзаца1"/>
    <w:rsid w:val="00EF30B4"/>
  </w:style>
  <w:style w:type="paragraph" w:styleId="a3">
    <w:name w:val="table of figures"/>
    <w:basedOn w:val="a"/>
    <w:next w:val="a"/>
    <w:semiHidden/>
    <w:rsid w:val="00EF30B4"/>
    <w:pPr>
      <w:tabs>
        <w:tab w:val="right" w:pos="8640"/>
      </w:tabs>
      <w:ind w:left="400" w:hanging="400"/>
    </w:pPr>
    <w:rPr>
      <w:caps/>
    </w:rPr>
  </w:style>
  <w:style w:type="paragraph" w:styleId="a4">
    <w:name w:val="footer"/>
    <w:basedOn w:val="a"/>
    <w:rsid w:val="00EF30B4"/>
    <w:pPr>
      <w:tabs>
        <w:tab w:val="center" w:pos="4320"/>
        <w:tab w:val="right" w:pos="8640"/>
      </w:tabs>
    </w:pPr>
  </w:style>
  <w:style w:type="character" w:styleId="a5">
    <w:name w:val="page number"/>
    <w:basedOn w:val="a0"/>
    <w:rsid w:val="00EF30B4"/>
  </w:style>
  <w:style w:type="paragraph" w:styleId="a6">
    <w:name w:val="header"/>
    <w:basedOn w:val="a"/>
    <w:rsid w:val="00EF30B4"/>
    <w:pPr>
      <w:tabs>
        <w:tab w:val="center" w:pos="4153"/>
        <w:tab w:val="right" w:pos="8306"/>
      </w:tabs>
    </w:pPr>
  </w:style>
  <w:style w:type="paragraph" w:styleId="a7">
    <w:name w:val="Body Text"/>
    <w:basedOn w:val="a"/>
    <w:rsid w:val="00EF30B4"/>
    <w:pPr>
      <w:spacing w:after="120"/>
    </w:pPr>
  </w:style>
  <w:style w:type="character" w:styleId="a8">
    <w:name w:val="Hyperlink"/>
    <w:basedOn w:val="a0"/>
    <w:rsid w:val="00EF30B4"/>
    <w:rPr>
      <w:color w:val="0000FF"/>
      <w:u w:val="single"/>
    </w:rPr>
  </w:style>
  <w:style w:type="character" w:styleId="a9">
    <w:name w:val="FollowedHyperlink"/>
    <w:basedOn w:val="a0"/>
    <w:rsid w:val="00EF30B4"/>
    <w:rPr>
      <w:color w:val="800080"/>
      <w:u w:val="single"/>
    </w:rPr>
  </w:style>
  <w:style w:type="paragraph" w:styleId="aa">
    <w:name w:val="List Continue"/>
    <w:basedOn w:val="a"/>
    <w:rsid w:val="00EF30B4"/>
    <w:pPr>
      <w:spacing w:after="120"/>
      <w:ind w:left="283"/>
    </w:pPr>
    <w:rPr>
      <w:rFonts w:ascii="Arial" w:hAnsi="Arial"/>
      <w:sz w:val="22"/>
    </w:rPr>
  </w:style>
  <w:style w:type="paragraph" w:customStyle="1" w:styleId="ab">
    <w:name w:val="Решение"/>
    <w:basedOn w:val="a"/>
    <w:rsid w:val="00EF30B4"/>
    <w:pPr>
      <w:tabs>
        <w:tab w:val="num" w:pos="360"/>
      </w:tabs>
      <w:ind w:left="283" w:hanging="283"/>
    </w:pPr>
    <w:rPr>
      <w:rFonts w:ascii="Arial" w:hAnsi="Arial"/>
      <w:sz w:val="22"/>
    </w:rPr>
  </w:style>
  <w:style w:type="paragraph" w:styleId="ac">
    <w:name w:val="Normal (Web)"/>
    <w:basedOn w:val="a"/>
    <w:rsid w:val="00EF30B4"/>
    <w:pPr>
      <w:spacing w:before="100" w:beforeAutospacing="1" w:after="100" w:afterAutospacing="1"/>
    </w:pPr>
    <w:rPr>
      <w:rFonts w:ascii="Arial CYR" w:eastAsia="Arial Unicode MS" w:hAnsi="Arial CYR" w:cs="Arial CYR"/>
      <w:color w:val="000000"/>
      <w:sz w:val="20"/>
    </w:rPr>
  </w:style>
  <w:style w:type="paragraph" w:styleId="20">
    <w:name w:val="Body Text 2"/>
    <w:basedOn w:val="a"/>
    <w:rsid w:val="00EF30B4"/>
    <w:pPr>
      <w:spacing w:before="120"/>
      <w:jc w:val="both"/>
    </w:pPr>
  </w:style>
  <w:style w:type="character" w:styleId="ad">
    <w:name w:val="Strong"/>
    <w:basedOn w:val="a0"/>
    <w:qFormat/>
    <w:rsid w:val="00EF30B4"/>
    <w:rPr>
      <w:b/>
      <w:bCs/>
    </w:rPr>
  </w:style>
  <w:style w:type="paragraph" w:customStyle="1" w:styleId="txt">
    <w:name w:val="txt"/>
    <w:basedOn w:val="a"/>
    <w:rsid w:val="00EF30B4"/>
    <w:pPr>
      <w:spacing w:before="100" w:beforeAutospacing="1" w:after="100" w:afterAutospacing="1"/>
    </w:pPr>
    <w:rPr>
      <w:rFonts w:ascii="Arial" w:hAnsi="Arial" w:cs="Arial"/>
      <w:color w:val="000000"/>
      <w:sz w:val="18"/>
      <w:szCs w:val="18"/>
    </w:rPr>
  </w:style>
  <w:style w:type="paragraph" w:customStyle="1" w:styleId="ConsNormal">
    <w:name w:val="ConsNormal"/>
    <w:rsid w:val="00EF30B4"/>
    <w:pPr>
      <w:widowControl w:val="0"/>
      <w:autoSpaceDE w:val="0"/>
      <w:autoSpaceDN w:val="0"/>
      <w:adjustRightInd w:val="0"/>
      <w:ind w:right="19772" w:firstLine="720"/>
    </w:pPr>
    <w:rPr>
      <w:rFonts w:ascii="Arial" w:hAnsi="Arial" w:cs="Arial"/>
    </w:rPr>
  </w:style>
  <w:style w:type="paragraph" w:styleId="30">
    <w:name w:val="Body Text 3"/>
    <w:basedOn w:val="a"/>
    <w:rsid w:val="00EF30B4"/>
    <w:pPr>
      <w:spacing w:before="120"/>
      <w:jc w:val="both"/>
    </w:pPr>
    <w:rPr>
      <w:rFonts w:ascii="Arial" w:hAnsi="Arial" w:cs="Arial"/>
      <w:sz w:val="20"/>
    </w:rPr>
  </w:style>
  <w:style w:type="paragraph" w:customStyle="1" w:styleId="Default">
    <w:name w:val="Default"/>
    <w:rsid w:val="00EF30B4"/>
    <w:pPr>
      <w:autoSpaceDE w:val="0"/>
      <w:autoSpaceDN w:val="0"/>
      <w:adjustRightInd w:val="0"/>
    </w:pPr>
    <w:rPr>
      <w:rFonts w:ascii="Arial" w:hAnsi="Arial" w:cs="Arial"/>
      <w:color w:val="000000"/>
      <w:sz w:val="24"/>
      <w:szCs w:val="24"/>
    </w:rPr>
  </w:style>
  <w:style w:type="paragraph" w:styleId="ae">
    <w:name w:val="Balloon Text"/>
    <w:basedOn w:val="a"/>
    <w:semiHidden/>
    <w:rsid w:val="00EF30B4"/>
    <w:rPr>
      <w:rFonts w:ascii="Tahoma" w:hAnsi="Tahoma" w:cs="Tahoma"/>
      <w:sz w:val="16"/>
      <w:szCs w:val="16"/>
    </w:rPr>
  </w:style>
  <w:style w:type="character" w:styleId="af">
    <w:name w:val="annotation reference"/>
    <w:basedOn w:val="a0"/>
    <w:semiHidden/>
    <w:rsid w:val="00EF30B4"/>
    <w:rPr>
      <w:sz w:val="16"/>
      <w:szCs w:val="16"/>
    </w:rPr>
  </w:style>
  <w:style w:type="paragraph" w:styleId="af0">
    <w:name w:val="annotation text"/>
    <w:basedOn w:val="a"/>
    <w:semiHidden/>
    <w:rsid w:val="00EF30B4"/>
    <w:rPr>
      <w:sz w:val="20"/>
    </w:rPr>
  </w:style>
  <w:style w:type="paragraph" w:styleId="af1">
    <w:name w:val="annotation subject"/>
    <w:basedOn w:val="af0"/>
    <w:next w:val="af0"/>
    <w:semiHidden/>
    <w:rsid w:val="00EF30B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Украинский индекс</vt:lpstr>
    </vt:vector>
  </TitlesOfParts>
  <Company>Украинская биржа</Company>
  <LinksUpToDate>false</LinksUpToDate>
  <CharactersWithSpaces>16175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Украинский индекс</dc:title>
  <dc:subject>Украинский индекс</dc:subject>
  <dc:creator>Asukh</dc:creator>
  <cp:keywords/>
  <dc:description/>
  <cp:lastModifiedBy>konstantinn</cp:lastModifiedBy>
  <cp:revision>5</cp:revision>
  <cp:lastPrinted>2009-04-02T11:21:00Z</cp:lastPrinted>
  <dcterms:created xsi:type="dcterms:W3CDTF">2016-06-15T10:57:00Z</dcterms:created>
  <dcterms:modified xsi:type="dcterms:W3CDTF">2016-06-16T13:40:00Z</dcterms:modified>
</cp:coreProperties>
</file>