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BD" w:rsidRPr="003E52F5" w:rsidRDefault="00CC30BD" w:rsidP="00CC30BD">
      <w:pPr>
        <w:jc w:val="both"/>
        <w:rPr>
          <w:rFonts w:ascii="Arial" w:hAnsi="Arial" w:cs="Arial"/>
          <w:sz w:val="16"/>
          <w:szCs w:val="16"/>
        </w:rPr>
      </w:pPr>
      <w:r w:rsidRPr="003E52F5">
        <w:rPr>
          <w:rFonts w:ascii="Arial" w:hAnsi="Arial" w:cs="Arial"/>
          <w:b/>
          <w:sz w:val="16"/>
          <w:szCs w:val="16"/>
        </w:rPr>
        <w:t>UKRPRODUCT GROUP LIMITED</w:t>
      </w:r>
      <w:r w:rsidRPr="003E52F5">
        <w:rPr>
          <w:rFonts w:ascii="Arial" w:hAnsi="Arial" w:cs="Arial"/>
          <w:sz w:val="16"/>
          <w:szCs w:val="16"/>
        </w:rPr>
        <w:t xml:space="preserve"> (the "</w:t>
      </w:r>
      <w:r w:rsidRPr="003E52F5">
        <w:rPr>
          <w:rFonts w:ascii="Arial" w:hAnsi="Arial" w:cs="Arial"/>
          <w:b/>
          <w:sz w:val="16"/>
          <w:szCs w:val="16"/>
        </w:rPr>
        <w:t>Company</w:t>
      </w:r>
      <w:r w:rsidRPr="003E52F5">
        <w:rPr>
          <w:rFonts w:ascii="Arial" w:hAnsi="Arial" w:cs="Arial"/>
          <w:sz w:val="16"/>
          <w:szCs w:val="16"/>
        </w:rPr>
        <w:t>")</w:t>
      </w:r>
    </w:p>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b/>
          <w:sz w:val="16"/>
          <w:szCs w:val="16"/>
        </w:rPr>
      </w:pPr>
      <w:r w:rsidRPr="003E52F5">
        <w:rPr>
          <w:rFonts w:ascii="Arial" w:hAnsi="Arial" w:cs="Arial"/>
          <w:b/>
          <w:sz w:val="16"/>
          <w:szCs w:val="16"/>
        </w:rPr>
        <w:t>Form of Proxy - Annual General Meeting</w:t>
      </w:r>
    </w:p>
    <w:p w:rsidR="00CC30BD" w:rsidRPr="003E52F5" w:rsidRDefault="00CC30BD" w:rsidP="00CC30BD">
      <w:pPr>
        <w:jc w:val="both"/>
        <w:rPr>
          <w:rFonts w:ascii="Arial" w:hAnsi="Arial" w:cs="Arial"/>
          <w:b/>
          <w:sz w:val="16"/>
          <w:szCs w:val="16"/>
        </w:rPr>
      </w:pPr>
      <w:r w:rsidRPr="003E52F5">
        <w:rPr>
          <w:rFonts w:ascii="Arial" w:hAnsi="Arial" w:cs="Arial"/>
          <w:b/>
          <w:sz w:val="16"/>
          <w:szCs w:val="16"/>
        </w:rPr>
        <w:t>(For the use of holders of Ordinary Shares, holding Ordinary Shares in their own name)</w:t>
      </w:r>
    </w:p>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sz w:val="16"/>
          <w:szCs w:val="16"/>
        </w:rPr>
      </w:pPr>
      <w:r w:rsidRPr="003E52F5">
        <w:rPr>
          <w:rFonts w:ascii="Arial" w:hAnsi="Arial" w:cs="Arial"/>
          <w:sz w:val="16"/>
          <w:szCs w:val="16"/>
        </w:rPr>
        <w:t>Please complete in block capitals.</w:t>
      </w:r>
    </w:p>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sz w:val="16"/>
          <w:szCs w:val="16"/>
        </w:rPr>
      </w:pPr>
      <w:r w:rsidRPr="003E52F5">
        <w:rPr>
          <w:rFonts w:ascii="Arial" w:hAnsi="Arial" w:cs="Arial"/>
          <w:sz w:val="16"/>
          <w:szCs w:val="16"/>
        </w:rPr>
        <w:t>I/We (see Note 7)…………………………………………………………………………………..</w:t>
      </w:r>
    </w:p>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sz w:val="16"/>
          <w:szCs w:val="16"/>
        </w:rPr>
      </w:pPr>
      <w:proofErr w:type="gramStart"/>
      <w:r w:rsidRPr="003E52F5">
        <w:rPr>
          <w:rFonts w:ascii="Arial" w:hAnsi="Arial" w:cs="Arial"/>
          <w:sz w:val="16"/>
          <w:szCs w:val="16"/>
        </w:rPr>
        <w:t>of</w:t>
      </w:r>
      <w:proofErr w:type="gramEnd"/>
      <w:r w:rsidRPr="003E52F5">
        <w:rPr>
          <w:rFonts w:ascii="Arial" w:hAnsi="Arial" w:cs="Arial"/>
          <w:sz w:val="16"/>
          <w:szCs w:val="16"/>
        </w:rPr>
        <w:t>……………………………………………………………………………….…………………….</w:t>
      </w:r>
    </w:p>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sz w:val="16"/>
          <w:szCs w:val="16"/>
        </w:rPr>
      </w:pPr>
      <w:r w:rsidRPr="003E52F5">
        <w:rPr>
          <w:rFonts w:ascii="Arial" w:hAnsi="Arial" w:cs="Arial"/>
          <w:sz w:val="16"/>
          <w:szCs w:val="16"/>
        </w:rPr>
        <w:t>being (a) member(s) of the Company hereby appoint (see Note 6) …………………………………………………………………. or in default the Chairman of the meeting, as my/our proxy to vote for us on my/our behalf at the Annual General Meeting of the Company to be held at 14</w:t>
      </w:r>
      <w:r w:rsidRPr="003E52F5">
        <w:rPr>
          <w:rFonts w:ascii="Arial" w:hAnsi="Arial" w:cs="Arial"/>
          <w:sz w:val="16"/>
          <w:szCs w:val="16"/>
          <w:vertAlign w:val="superscript"/>
        </w:rPr>
        <w:t>th</w:t>
      </w:r>
      <w:r w:rsidRPr="003E52F5">
        <w:rPr>
          <w:rFonts w:ascii="Arial" w:hAnsi="Arial" w:cs="Arial"/>
          <w:sz w:val="16"/>
          <w:szCs w:val="16"/>
        </w:rPr>
        <w:t xml:space="preserve"> Floor, </w:t>
      </w:r>
      <w:r>
        <w:rPr>
          <w:rFonts w:ascii="Arial" w:hAnsi="Arial" w:cs="Arial"/>
          <w:sz w:val="16"/>
          <w:szCs w:val="16"/>
        </w:rPr>
        <w:t xml:space="preserve">39-41 </w:t>
      </w:r>
      <w:proofErr w:type="spellStart"/>
      <w:r>
        <w:rPr>
          <w:rFonts w:ascii="Arial" w:hAnsi="Arial" w:cs="Arial"/>
          <w:sz w:val="16"/>
          <w:szCs w:val="16"/>
        </w:rPr>
        <w:t>Shota</w:t>
      </w:r>
      <w:proofErr w:type="spellEnd"/>
      <w:r>
        <w:rPr>
          <w:rFonts w:ascii="Arial" w:hAnsi="Arial" w:cs="Arial"/>
          <w:sz w:val="16"/>
          <w:szCs w:val="16"/>
        </w:rPr>
        <w:t xml:space="preserve"> </w:t>
      </w:r>
      <w:proofErr w:type="spellStart"/>
      <w:r>
        <w:rPr>
          <w:rFonts w:ascii="Arial" w:hAnsi="Arial" w:cs="Arial"/>
          <w:sz w:val="16"/>
          <w:szCs w:val="16"/>
        </w:rPr>
        <w:t>Rustaveli</w:t>
      </w:r>
      <w:proofErr w:type="spellEnd"/>
      <w:r w:rsidRPr="003E52F5">
        <w:rPr>
          <w:rFonts w:ascii="Arial" w:hAnsi="Arial" w:cs="Arial"/>
          <w:sz w:val="16"/>
          <w:szCs w:val="16"/>
        </w:rPr>
        <w:t xml:space="preserve"> Street, 01033 Kyiv, Ukraine on </w:t>
      </w:r>
      <w:r>
        <w:rPr>
          <w:rFonts w:ascii="Arial" w:hAnsi="Arial" w:cs="Arial"/>
          <w:sz w:val="16"/>
          <w:szCs w:val="16"/>
        </w:rPr>
        <w:t>Fri</w:t>
      </w:r>
      <w:r w:rsidRPr="003E52F5">
        <w:rPr>
          <w:rFonts w:ascii="Arial" w:hAnsi="Arial" w:cs="Arial"/>
          <w:sz w:val="16"/>
          <w:szCs w:val="16"/>
        </w:rPr>
        <w:t xml:space="preserve">day, </w:t>
      </w:r>
      <w:r>
        <w:rPr>
          <w:rFonts w:ascii="Arial" w:hAnsi="Arial" w:cs="Arial"/>
          <w:sz w:val="16"/>
          <w:szCs w:val="16"/>
        </w:rPr>
        <w:t>24 July 2015</w:t>
      </w:r>
      <w:r w:rsidRPr="003E52F5">
        <w:rPr>
          <w:rFonts w:ascii="Arial" w:hAnsi="Arial" w:cs="Arial"/>
          <w:sz w:val="16"/>
          <w:szCs w:val="16"/>
        </w:rPr>
        <w:t xml:space="preserve"> at </w:t>
      </w:r>
      <w:r>
        <w:rPr>
          <w:rFonts w:ascii="Arial" w:hAnsi="Arial" w:cs="Arial"/>
          <w:sz w:val="16"/>
          <w:szCs w:val="16"/>
        </w:rPr>
        <w:t>6</w:t>
      </w:r>
      <w:r w:rsidRPr="003E52F5">
        <w:rPr>
          <w:rFonts w:ascii="Arial" w:hAnsi="Arial" w:cs="Arial"/>
          <w:sz w:val="16"/>
          <w:szCs w:val="16"/>
        </w:rPr>
        <w:t xml:space="preserve"> pm (Kyiv time) and at any adjournment thereof.</w:t>
      </w:r>
    </w:p>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sz w:val="16"/>
          <w:szCs w:val="16"/>
        </w:rPr>
      </w:pPr>
      <w:r w:rsidRPr="003E52F5">
        <w:rPr>
          <w:rFonts w:ascii="Arial" w:hAnsi="Arial" w:cs="Arial"/>
          <w:sz w:val="16"/>
          <w:szCs w:val="16"/>
        </w:rPr>
        <w:t>I/We direct my/our proxy to vote on the resolutions as set out in the notice convening the Annual General Meeting as follows:</w:t>
      </w:r>
    </w:p>
    <w:p w:rsidR="00CC30BD" w:rsidRPr="005220FC" w:rsidRDefault="00CC30BD" w:rsidP="00CC30BD">
      <w:pPr>
        <w:jc w:val="both"/>
        <w:rPr>
          <w:rFonts w:ascii="Arial" w:hAnsi="Arial" w:cs="Arial"/>
          <w:sz w:val="16"/>
          <w:szCs w:val="16"/>
        </w:rPr>
      </w:pPr>
    </w:p>
    <w:p w:rsidR="00CC30BD" w:rsidRPr="005220FC" w:rsidRDefault="00CC30BD" w:rsidP="00CC30BD">
      <w:pPr>
        <w:autoSpaceDE w:val="0"/>
        <w:autoSpaceDN w:val="0"/>
        <w:adjustRightInd w:val="0"/>
        <w:rPr>
          <w:rFonts w:ascii="Arial" w:hAnsi="Arial" w:cs="Arial"/>
          <w:sz w:val="16"/>
          <w:szCs w:val="16"/>
        </w:rPr>
      </w:pPr>
      <w:r w:rsidRPr="005220FC">
        <w:rPr>
          <w:rFonts w:ascii="Arial" w:hAnsi="Arial" w:cs="Arial"/>
          <w:sz w:val="16"/>
          <w:szCs w:val="16"/>
        </w:rPr>
        <w:t>Please indicate how you wish your proxy to vote by marking an</w:t>
      </w:r>
      <w:r w:rsidRPr="005220FC">
        <w:rPr>
          <w:rFonts w:ascii="Arial" w:hAnsi="Arial" w:cs="Arial"/>
          <w:b/>
          <w:sz w:val="16"/>
          <w:szCs w:val="16"/>
        </w:rPr>
        <w:t xml:space="preserve"> 'X'</w:t>
      </w:r>
      <w:r w:rsidRPr="005220FC">
        <w:rPr>
          <w:rFonts w:ascii="Arial" w:hAnsi="Arial" w:cs="Arial"/>
          <w:sz w:val="16"/>
          <w:szCs w:val="16"/>
        </w:rPr>
        <w:t xml:space="preserve"> in the appropriate space.  If no specific direction is given the proxy will vote, or abstain from voting as thought fit (see Note 9).</w:t>
      </w:r>
    </w:p>
    <w:p w:rsidR="00CC30BD" w:rsidRPr="005220FC" w:rsidRDefault="00CC30BD" w:rsidP="00CC30BD">
      <w:pPr>
        <w:jc w:val="both"/>
        <w:rPr>
          <w:rFonts w:ascii="Arial" w:hAnsi="Arial" w:cs="Arial"/>
          <w:sz w:val="16"/>
          <w:szCs w:val="16"/>
        </w:rPr>
      </w:pPr>
    </w:p>
    <w:tbl>
      <w:tblPr>
        <w:tblStyle w:val="a5"/>
        <w:tblW w:w="8988" w:type="dxa"/>
        <w:tblInd w:w="108" w:type="dxa"/>
        <w:tblLook w:val="01E0" w:firstRow="1" w:lastRow="1" w:firstColumn="1" w:lastColumn="1" w:noHBand="0" w:noVBand="0"/>
      </w:tblPr>
      <w:tblGrid>
        <w:gridCol w:w="439"/>
        <w:gridCol w:w="5933"/>
        <w:gridCol w:w="876"/>
        <w:gridCol w:w="848"/>
        <w:gridCol w:w="892"/>
      </w:tblGrid>
      <w:tr w:rsidR="00CC30BD" w:rsidRPr="005220FC" w:rsidTr="008D6EA6">
        <w:tc>
          <w:tcPr>
            <w:tcW w:w="6372" w:type="dxa"/>
            <w:gridSpan w:val="2"/>
          </w:tcPr>
          <w:p w:rsidR="00CC30BD" w:rsidRPr="005220FC" w:rsidRDefault="00CC30BD" w:rsidP="008D6EA6">
            <w:pPr>
              <w:jc w:val="both"/>
              <w:rPr>
                <w:rFonts w:ascii="Arial" w:hAnsi="Arial" w:cs="Arial"/>
                <w:b/>
                <w:sz w:val="16"/>
                <w:szCs w:val="16"/>
              </w:rPr>
            </w:pPr>
          </w:p>
          <w:p w:rsidR="00CC30BD" w:rsidRPr="005220FC" w:rsidRDefault="00CC30BD" w:rsidP="008D6EA6">
            <w:pPr>
              <w:jc w:val="both"/>
              <w:rPr>
                <w:rFonts w:ascii="Arial" w:hAnsi="Arial" w:cs="Arial"/>
                <w:b/>
                <w:sz w:val="16"/>
                <w:szCs w:val="16"/>
              </w:rPr>
            </w:pPr>
            <w:r w:rsidRPr="005220FC">
              <w:rPr>
                <w:rFonts w:ascii="Arial" w:hAnsi="Arial" w:cs="Arial"/>
                <w:b/>
                <w:sz w:val="16"/>
                <w:szCs w:val="16"/>
              </w:rPr>
              <w:t>Ordinary Resolutions:</w:t>
            </w:r>
          </w:p>
          <w:p w:rsidR="00CC30BD" w:rsidRPr="005220FC" w:rsidRDefault="00CC30BD" w:rsidP="008D6EA6">
            <w:pPr>
              <w:jc w:val="both"/>
              <w:rPr>
                <w:rFonts w:ascii="Arial" w:hAnsi="Arial" w:cs="Arial"/>
                <w:b/>
                <w:sz w:val="16"/>
                <w:szCs w:val="16"/>
              </w:rPr>
            </w:pPr>
          </w:p>
        </w:tc>
        <w:tc>
          <w:tcPr>
            <w:tcW w:w="876" w:type="dxa"/>
          </w:tcPr>
          <w:p w:rsidR="00CC30BD" w:rsidRPr="005220FC" w:rsidRDefault="00CC30BD" w:rsidP="008D6EA6">
            <w:pPr>
              <w:jc w:val="both"/>
              <w:rPr>
                <w:rFonts w:ascii="Arial" w:hAnsi="Arial" w:cs="Arial"/>
                <w:b/>
                <w:sz w:val="16"/>
                <w:szCs w:val="16"/>
              </w:rPr>
            </w:pPr>
          </w:p>
          <w:p w:rsidR="00CC30BD" w:rsidRPr="005220FC" w:rsidRDefault="00CC30BD" w:rsidP="008D6EA6">
            <w:pPr>
              <w:jc w:val="center"/>
              <w:rPr>
                <w:rFonts w:ascii="Arial" w:hAnsi="Arial" w:cs="Arial"/>
                <w:b/>
                <w:sz w:val="16"/>
                <w:szCs w:val="16"/>
              </w:rPr>
            </w:pPr>
            <w:r w:rsidRPr="005220FC">
              <w:rPr>
                <w:rFonts w:ascii="Arial" w:hAnsi="Arial" w:cs="Arial"/>
                <w:b/>
                <w:sz w:val="16"/>
                <w:szCs w:val="16"/>
              </w:rPr>
              <w:t>For</w:t>
            </w:r>
          </w:p>
          <w:p w:rsidR="00CC30BD" w:rsidRPr="005220FC" w:rsidRDefault="00CC30BD" w:rsidP="008D6EA6">
            <w:pPr>
              <w:jc w:val="both"/>
              <w:rPr>
                <w:rFonts w:ascii="Arial" w:hAnsi="Arial" w:cs="Arial"/>
                <w:b/>
                <w:sz w:val="16"/>
                <w:szCs w:val="16"/>
              </w:rPr>
            </w:pPr>
          </w:p>
        </w:tc>
        <w:tc>
          <w:tcPr>
            <w:tcW w:w="848" w:type="dxa"/>
          </w:tcPr>
          <w:p w:rsidR="00CC30BD" w:rsidRPr="005220FC" w:rsidRDefault="00CC30BD" w:rsidP="008D6EA6">
            <w:pPr>
              <w:jc w:val="both"/>
              <w:rPr>
                <w:rFonts w:ascii="Arial" w:hAnsi="Arial" w:cs="Arial"/>
                <w:b/>
                <w:sz w:val="16"/>
                <w:szCs w:val="16"/>
              </w:rPr>
            </w:pPr>
          </w:p>
          <w:p w:rsidR="00CC30BD" w:rsidRPr="005220FC" w:rsidRDefault="00CC30BD" w:rsidP="008D6EA6">
            <w:pPr>
              <w:jc w:val="center"/>
              <w:rPr>
                <w:rFonts w:ascii="Arial" w:hAnsi="Arial" w:cs="Arial"/>
                <w:b/>
                <w:sz w:val="16"/>
                <w:szCs w:val="16"/>
              </w:rPr>
            </w:pPr>
            <w:r w:rsidRPr="005220FC">
              <w:rPr>
                <w:rFonts w:ascii="Arial" w:hAnsi="Arial" w:cs="Arial"/>
                <w:b/>
                <w:sz w:val="16"/>
                <w:szCs w:val="16"/>
              </w:rPr>
              <w:t>Against</w:t>
            </w:r>
          </w:p>
        </w:tc>
        <w:tc>
          <w:tcPr>
            <w:tcW w:w="892" w:type="dxa"/>
          </w:tcPr>
          <w:p w:rsidR="00CC30BD" w:rsidRPr="005220FC" w:rsidRDefault="00CC30BD" w:rsidP="008D6EA6">
            <w:pPr>
              <w:jc w:val="both"/>
              <w:rPr>
                <w:rFonts w:ascii="Arial" w:hAnsi="Arial" w:cs="Arial"/>
                <w:b/>
                <w:sz w:val="16"/>
                <w:szCs w:val="16"/>
              </w:rPr>
            </w:pPr>
          </w:p>
          <w:p w:rsidR="00CC30BD" w:rsidRPr="005220FC" w:rsidRDefault="00CC30BD" w:rsidP="008D6EA6">
            <w:pPr>
              <w:jc w:val="both"/>
              <w:rPr>
                <w:rFonts w:ascii="Arial" w:hAnsi="Arial" w:cs="Arial"/>
                <w:b/>
                <w:sz w:val="16"/>
                <w:szCs w:val="16"/>
              </w:rPr>
            </w:pPr>
            <w:r w:rsidRPr="005220FC">
              <w:rPr>
                <w:rFonts w:ascii="Arial" w:hAnsi="Arial" w:cs="Arial"/>
                <w:b/>
                <w:sz w:val="16"/>
                <w:szCs w:val="16"/>
              </w:rPr>
              <w:t>Vote Withheld</w:t>
            </w:r>
          </w:p>
          <w:p w:rsidR="00CC30BD" w:rsidRPr="005220FC" w:rsidRDefault="00CC30BD" w:rsidP="008D6EA6">
            <w:pPr>
              <w:jc w:val="both"/>
              <w:rPr>
                <w:rFonts w:ascii="Arial" w:hAnsi="Arial" w:cs="Arial"/>
                <w:b/>
                <w:sz w:val="16"/>
                <w:szCs w:val="16"/>
              </w:rPr>
            </w:pPr>
          </w:p>
        </w:tc>
      </w:tr>
      <w:tr w:rsidR="00CC30BD" w:rsidRPr="005220FC" w:rsidTr="008D6EA6">
        <w:tc>
          <w:tcPr>
            <w:tcW w:w="439" w:type="dxa"/>
            <w:shd w:val="clear" w:color="auto" w:fill="auto"/>
          </w:tcPr>
          <w:p w:rsidR="00CC30BD" w:rsidRPr="005220FC" w:rsidRDefault="00CC30BD" w:rsidP="008D6EA6">
            <w:pPr>
              <w:autoSpaceDE w:val="0"/>
              <w:autoSpaceDN w:val="0"/>
              <w:adjustRightInd w:val="0"/>
              <w:rPr>
                <w:rFonts w:ascii="Arial" w:hAnsi="Arial" w:cs="Arial"/>
                <w:bCs/>
                <w:color w:val="000000"/>
                <w:sz w:val="16"/>
                <w:szCs w:val="16"/>
                <w:lang w:val="en-US"/>
              </w:rPr>
            </w:pPr>
          </w:p>
          <w:p w:rsidR="00CC30BD" w:rsidRPr="005220FC" w:rsidRDefault="00CC30BD" w:rsidP="008D6EA6">
            <w:pPr>
              <w:autoSpaceDE w:val="0"/>
              <w:autoSpaceDN w:val="0"/>
              <w:adjustRightInd w:val="0"/>
              <w:rPr>
                <w:rFonts w:ascii="Arial" w:hAnsi="Arial" w:cs="Arial"/>
                <w:bCs/>
                <w:color w:val="000000"/>
                <w:sz w:val="16"/>
                <w:szCs w:val="16"/>
                <w:lang w:val="en-US"/>
              </w:rPr>
            </w:pPr>
            <w:r w:rsidRPr="005220FC">
              <w:rPr>
                <w:rFonts w:ascii="Arial" w:hAnsi="Arial" w:cs="Arial"/>
                <w:bCs/>
                <w:color w:val="000000"/>
                <w:sz w:val="16"/>
                <w:szCs w:val="16"/>
                <w:lang w:val="en-US"/>
              </w:rPr>
              <w:t>1.</w:t>
            </w:r>
          </w:p>
        </w:tc>
        <w:tc>
          <w:tcPr>
            <w:tcW w:w="5933" w:type="dxa"/>
            <w:shd w:val="clear" w:color="auto" w:fill="auto"/>
          </w:tcPr>
          <w:p w:rsidR="00CC30BD" w:rsidRPr="005220FC" w:rsidRDefault="00CC30BD" w:rsidP="008D6EA6">
            <w:pPr>
              <w:spacing w:line="324" w:lineRule="auto"/>
              <w:rPr>
                <w:rFonts w:ascii="Arial" w:hAnsi="Arial" w:cs="Arial"/>
                <w:b/>
                <w:bCs/>
                <w:color w:val="000000"/>
                <w:sz w:val="16"/>
                <w:szCs w:val="16"/>
                <w:lang w:val="en-US"/>
              </w:rPr>
            </w:pPr>
            <w:r w:rsidRPr="00FA5855">
              <w:rPr>
                <w:rFonts w:ascii="Arial" w:hAnsi="Arial" w:cs="Arial"/>
                <w:b/>
                <w:bCs/>
                <w:color w:val="000000"/>
                <w:sz w:val="16"/>
                <w:szCs w:val="16"/>
                <w:lang w:val="en-US"/>
              </w:rPr>
              <w:t xml:space="preserve">THAT </w:t>
            </w:r>
            <w:r w:rsidRPr="00FA5855">
              <w:rPr>
                <w:rFonts w:ascii="Arial" w:hAnsi="Arial" w:cs="Arial"/>
                <w:bCs/>
                <w:color w:val="000000"/>
                <w:sz w:val="16"/>
                <w:szCs w:val="16"/>
                <w:lang w:val="en-US"/>
              </w:rPr>
              <w:t>the consolidated accounts of the Company for</w:t>
            </w:r>
            <w:r>
              <w:rPr>
                <w:rFonts w:ascii="Arial" w:hAnsi="Arial" w:cs="Arial"/>
                <w:bCs/>
                <w:color w:val="000000"/>
                <w:sz w:val="16"/>
                <w:szCs w:val="16"/>
                <w:lang w:val="en-US"/>
              </w:rPr>
              <w:t xml:space="preserve"> the year ended 31 December 2014</w:t>
            </w:r>
            <w:r w:rsidRPr="00FA5855">
              <w:rPr>
                <w:rFonts w:ascii="Arial" w:hAnsi="Arial" w:cs="Arial"/>
                <w:bCs/>
                <w:color w:val="000000"/>
                <w:sz w:val="16"/>
                <w:szCs w:val="16"/>
                <w:lang w:val="en-US"/>
              </w:rPr>
              <w:t>, together with the report of the Directors and the report of the Company's auditor thereon, be and are hereby received by the Shareholders.</w:t>
            </w:r>
          </w:p>
        </w:tc>
        <w:tc>
          <w:tcPr>
            <w:tcW w:w="876"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48"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92"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r>
      <w:tr w:rsidR="00CC30BD" w:rsidRPr="005220FC" w:rsidTr="008D6EA6">
        <w:tc>
          <w:tcPr>
            <w:tcW w:w="439" w:type="dxa"/>
            <w:shd w:val="clear" w:color="auto" w:fill="auto"/>
          </w:tcPr>
          <w:p w:rsidR="00CC30BD" w:rsidRPr="005220FC" w:rsidRDefault="00CC30BD" w:rsidP="008D6EA6">
            <w:pPr>
              <w:autoSpaceDE w:val="0"/>
              <w:autoSpaceDN w:val="0"/>
              <w:adjustRightInd w:val="0"/>
              <w:rPr>
                <w:rFonts w:ascii="Arial" w:hAnsi="Arial" w:cs="Arial"/>
                <w:bCs/>
                <w:color w:val="000000"/>
                <w:sz w:val="16"/>
                <w:szCs w:val="16"/>
                <w:lang w:val="en-US"/>
              </w:rPr>
            </w:pPr>
            <w:r w:rsidRPr="005220FC">
              <w:rPr>
                <w:rFonts w:ascii="Arial" w:hAnsi="Arial" w:cs="Arial"/>
                <w:bCs/>
                <w:color w:val="000000"/>
                <w:sz w:val="16"/>
                <w:szCs w:val="16"/>
                <w:lang w:val="en-US"/>
              </w:rPr>
              <w:t>2.</w:t>
            </w:r>
          </w:p>
        </w:tc>
        <w:tc>
          <w:tcPr>
            <w:tcW w:w="5933" w:type="dxa"/>
            <w:shd w:val="clear" w:color="auto" w:fill="auto"/>
          </w:tcPr>
          <w:p w:rsidR="00CC30BD" w:rsidRPr="005220FC" w:rsidRDefault="00CC30BD" w:rsidP="008D6EA6">
            <w:pPr>
              <w:spacing w:line="324" w:lineRule="auto"/>
              <w:rPr>
                <w:rFonts w:ascii="Arial" w:hAnsi="Arial" w:cs="Arial"/>
                <w:b/>
                <w:bCs/>
                <w:color w:val="000000"/>
                <w:sz w:val="16"/>
                <w:szCs w:val="16"/>
              </w:rPr>
            </w:pPr>
            <w:r w:rsidRPr="00FA5855">
              <w:rPr>
                <w:rFonts w:ascii="Arial" w:hAnsi="Arial" w:cs="Arial"/>
                <w:b/>
                <w:bCs/>
                <w:color w:val="000000"/>
                <w:sz w:val="16"/>
                <w:szCs w:val="16"/>
                <w:lang w:val="en-US"/>
              </w:rPr>
              <w:t xml:space="preserve">THAT </w:t>
            </w:r>
            <w:r w:rsidRPr="00FA5855">
              <w:rPr>
                <w:rFonts w:ascii="Arial" w:hAnsi="Arial" w:cs="Arial"/>
                <w:bCs/>
                <w:color w:val="000000"/>
                <w:sz w:val="16"/>
                <w:szCs w:val="16"/>
                <w:lang w:val="en-US"/>
              </w:rPr>
              <w:t>Jack Rowell, who retires in accordance with Article 17 of the Articles of Association of the Company and who, being eligible, offers himself for re-election in accordance with the said Article 17, be and is hereby re-elected as a Director of the Company.</w:t>
            </w:r>
          </w:p>
        </w:tc>
        <w:tc>
          <w:tcPr>
            <w:tcW w:w="876"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48"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92"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r>
      <w:tr w:rsidR="00CC30BD" w:rsidRPr="005220FC" w:rsidTr="008D6EA6">
        <w:tc>
          <w:tcPr>
            <w:tcW w:w="439" w:type="dxa"/>
            <w:shd w:val="clear" w:color="auto" w:fill="auto"/>
          </w:tcPr>
          <w:p w:rsidR="00CC30BD" w:rsidRPr="005220FC" w:rsidRDefault="00CC30BD" w:rsidP="008D6EA6">
            <w:pPr>
              <w:autoSpaceDE w:val="0"/>
              <w:autoSpaceDN w:val="0"/>
              <w:adjustRightInd w:val="0"/>
              <w:rPr>
                <w:rFonts w:ascii="Arial" w:hAnsi="Arial" w:cs="Arial"/>
                <w:bCs/>
                <w:color w:val="000000"/>
                <w:sz w:val="16"/>
                <w:szCs w:val="16"/>
                <w:lang w:val="en-US"/>
              </w:rPr>
            </w:pPr>
          </w:p>
          <w:p w:rsidR="00CC30BD" w:rsidRPr="005220FC" w:rsidRDefault="00CC30BD" w:rsidP="008D6EA6">
            <w:pPr>
              <w:autoSpaceDE w:val="0"/>
              <w:autoSpaceDN w:val="0"/>
              <w:adjustRightInd w:val="0"/>
              <w:rPr>
                <w:rFonts w:ascii="Arial" w:hAnsi="Arial" w:cs="Arial"/>
                <w:bCs/>
                <w:color w:val="000000"/>
                <w:sz w:val="16"/>
                <w:szCs w:val="16"/>
                <w:lang w:val="en-US"/>
              </w:rPr>
            </w:pPr>
            <w:r w:rsidRPr="005220FC">
              <w:rPr>
                <w:rFonts w:ascii="Arial" w:hAnsi="Arial" w:cs="Arial"/>
                <w:bCs/>
                <w:color w:val="000000"/>
                <w:sz w:val="16"/>
                <w:szCs w:val="16"/>
                <w:lang w:val="en-US"/>
              </w:rPr>
              <w:t>3.</w:t>
            </w:r>
          </w:p>
        </w:tc>
        <w:tc>
          <w:tcPr>
            <w:tcW w:w="5933" w:type="dxa"/>
            <w:shd w:val="clear" w:color="auto" w:fill="auto"/>
          </w:tcPr>
          <w:p w:rsidR="00CC30BD" w:rsidRPr="00FA5855" w:rsidRDefault="00CC30BD" w:rsidP="008D6EA6">
            <w:pPr>
              <w:spacing w:line="324" w:lineRule="auto"/>
              <w:rPr>
                <w:rFonts w:ascii="Arial" w:hAnsi="Arial" w:cs="Arial"/>
                <w:bCs/>
                <w:color w:val="000000"/>
                <w:sz w:val="16"/>
                <w:szCs w:val="16"/>
              </w:rPr>
            </w:pPr>
            <w:r w:rsidRPr="00FA5855">
              <w:rPr>
                <w:rFonts w:ascii="Arial" w:hAnsi="Arial" w:cs="Arial"/>
                <w:b/>
                <w:bCs/>
                <w:color w:val="000000"/>
                <w:sz w:val="16"/>
                <w:szCs w:val="16"/>
                <w:lang w:val="en-US"/>
              </w:rPr>
              <w:t xml:space="preserve">THAT </w:t>
            </w:r>
            <w:r w:rsidRPr="00FA5855">
              <w:rPr>
                <w:rFonts w:ascii="Arial" w:hAnsi="Arial" w:cs="Arial"/>
                <w:bCs/>
                <w:color w:val="000000"/>
                <w:sz w:val="16"/>
                <w:szCs w:val="16"/>
                <w:lang w:val="en-US"/>
              </w:rPr>
              <w:t xml:space="preserve">Sergey </w:t>
            </w:r>
            <w:proofErr w:type="spellStart"/>
            <w:r w:rsidRPr="00FA5855">
              <w:rPr>
                <w:rFonts w:ascii="Arial" w:hAnsi="Arial" w:cs="Arial"/>
                <w:bCs/>
                <w:color w:val="000000"/>
                <w:sz w:val="16"/>
                <w:szCs w:val="16"/>
                <w:lang w:val="en-US"/>
              </w:rPr>
              <w:t>Evlanchik</w:t>
            </w:r>
            <w:proofErr w:type="spellEnd"/>
            <w:r w:rsidRPr="00FA5855">
              <w:rPr>
                <w:rFonts w:ascii="Arial" w:hAnsi="Arial" w:cs="Arial"/>
                <w:bCs/>
                <w:color w:val="000000"/>
                <w:sz w:val="16"/>
                <w:szCs w:val="16"/>
                <w:lang w:val="en-US"/>
              </w:rPr>
              <w:t>, who retires in accordance with Article 17 of the Articles of Association of the Company and who, being eligible, offers himself for re-election in accordance with the said Article 17, be and is hereby re-elected as a Director of the Company.</w:t>
            </w:r>
          </w:p>
        </w:tc>
        <w:tc>
          <w:tcPr>
            <w:tcW w:w="876"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48"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92"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r>
      <w:tr w:rsidR="00CC30BD" w:rsidRPr="003E52F5" w:rsidTr="008D6EA6">
        <w:tc>
          <w:tcPr>
            <w:tcW w:w="439" w:type="dxa"/>
            <w:shd w:val="clear" w:color="auto" w:fill="auto"/>
          </w:tcPr>
          <w:p w:rsidR="00CC30BD" w:rsidRPr="003E52F5" w:rsidRDefault="00CC30BD" w:rsidP="008D6EA6">
            <w:pPr>
              <w:jc w:val="both"/>
              <w:rPr>
                <w:rFonts w:ascii="Arial" w:hAnsi="Arial" w:cs="Arial"/>
                <w:sz w:val="16"/>
                <w:szCs w:val="16"/>
                <w:lang w:val="en-US"/>
              </w:rPr>
            </w:pPr>
            <w:r>
              <w:rPr>
                <w:rFonts w:ascii="Arial" w:hAnsi="Arial" w:cs="Arial"/>
                <w:sz w:val="16"/>
                <w:szCs w:val="16"/>
                <w:lang w:val="en-US"/>
              </w:rPr>
              <w:t>4.</w:t>
            </w:r>
          </w:p>
        </w:tc>
        <w:tc>
          <w:tcPr>
            <w:tcW w:w="5933" w:type="dxa"/>
            <w:shd w:val="clear" w:color="auto" w:fill="auto"/>
          </w:tcPr>
          <w:p w:rsidR="00CC30BD" w:rsidRPr="003E52F5" w:rsidRDefault="00CC30BD" w:rsidP="008D6EA6">
            <w:pPr>
              <w:spacing w:line="324" w:lineRule="auto"/>
              <w:rPr>
                <w:rFonts w:ascii="Arial" w:hAnsi="Arial" w:cs="Arial"/>
                <w:b/>
                <w:sz w:val="16"/>
                <w:szCs w:val="16"/>
                <w:lang w:val="en-US"/>
              </w:rPr>
            </w:pPr>
            <w:r w:rsidRPr="003E52F5">
              <w:rPr>
                <w:rFonts w:ascii="Arial" w:hAnsi="Arial" w:cs="Arial"/>
                <w:b/>
                <w:bCs/>
                <w:color w:val="000000"/>
                <w:sz w:val="16"/>
                <w:szCs w:val="16"/>
                <w:lang w:val="en-US"/>
              </w:rPr>
              <w:t>THAT</w:t>
            </w:r>
            <w:r w:rsidRPr="003E52F5">
              <w:rPr>
                <w:rFonts w:ascii="Arial" w:hAnsi="Arial" w:cs="Arial"/>
                <w:color w:val="000000"/>
                <w:sz w:val="16"/>
                <w:szCs w:val="16"/>
                <w:lang w:val="en-US"/>
              </w:rPr>
              <w:t xml:space="preserve"> </w:t>
            </w:r>
            <w:r w:rsidRPr="003E52F5">
              <w:rPr>
                <w:rFonts w:ascii="Arial" w:hAnsi="Arial" w:cs="Arial"/>
                <w:sz w:val="16"/>
                <w:szCs w:val="16"/>
                <w:lang w:val="en-US"/>
              </w:rPr>
              <w:t xml:space="preserve">Alexander </w:t>
            </w:r>
            <w:proofErr w:type="spellStart"/>
            <w:r w:rsidRPr="003E52F5">
              <w:rPr>
                <w:rFonts w:ascii="Arial" w:hAnsi="Arial" w:cs="Arial"/>
                <w:sz w:val="16"/>
                <w:szCs w:val="16"/>
                <w:lang w:val="en-US"/>
              </w:rPr>
              <w:t>Slipchuk</w:t>
            </w:r>
            <w:proofErr w:type="spellEnd"/>
            <w:r w:rsidRPr="003E52F5">
              <w:rPr>
                <w:rFonts w:ascii="Arial" w:hAnsi="Arial" w:cs="Arial"/>
                <w:color w:val="000000"/>
                <w:sz w:val="16"/>
                <w:szCs w:val="16"/>
                <w:lang w:val="en-US"/>
              </w:rPr>
              <w:t>, who retires in accordance with Article 17 of the Articles of Association of the Company and who, being eligible, offers himself for re-election in accordance with the said Article 17, be and is hereby re-elected as a Director of the Company.</w:t>
            </w:r>
          </w:p>
        </w:tc>
        <w:tc>
          <w:tcPr>
            <w:tcW w:w="876"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c>
          <w:tcPr>
            <w:tcW w:w="848"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c>
          <w:tcPr>
            <w:tcW w:w="892"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r>
      <w:tr w:rsidR="00CC30BD" w:rsidRPr="003E52F5" w:rsidTr="008D6EA6">
        <w:tc>
          <w:tcPr>
            <w:tcW w:w="439" w:type="dxa"/>
            <w:shd w:val="clear" w:color="auto" w:fill="auto"/>
          </w:tcPr>
          <w:p w:rsidR="00CC30BD" w:rsidRPr="003E52F5" w:rsidRDefault="00CC30BD" w:rsidP="008D6EA6">
            <w:pPr>
              <w:jc w:val="both"/>
              <w:rPr>
                <w:rFonts w:ascii="Arial" w:hAnsi="Arial" w:cs="Arial"/>
                <w:sz w:val="16"/>
                <w:szCs w:val="16"/>
                <w:lang w:val="en-US"/>
              </w:rPr>
            </w:pPr>
            <w:r>
              <w:rPr>
                <w:rFonts w:ascii="Arial" w:hAnsi="Arial" w:cs="Arial"/>
                <w:sz w:val="16"/>
                <w:szCs w:val="16"/>
                <w:lang w:val="en-US"/>
              </w:rPr>
              <w:t>5.</w:t>
            </w:r>
          </w:p>
        </w:tc>
        <w:tc>
          <w:tcPr>
            <w:tcW w:w="5933" w:type="dxa"/>
            <w:shd w:val="clear" w:color="auto" w:fill="auto"/>
          </w:tcPr>
          <w:p w:rsidR="00CC30BD" w:rsidRPr="005455E5" w:rsidRDefault="00CC30BD" w:rsidP="008D6EA6">
            <w:pPr>
              <w:spacing w:line="324" w:lineRule="auto"/>
              <w:rPr>
                <w:bCs/>
                <w:color w:val="000000"/>
                <w:szCs w:val="22"/>
              </w:rPr>
            </w:pPr>
            <w:r w:rsidRPr="005455E5">
              <w:rPr>
                <w:rFonts w:ascii="Arial" w:hAnsi="Arial" w:cs="Arial"/>
                <w:b/>
                <w:bCs/>
                <w:color w:val="000000"/>
                <w:sz w:val="16"/>
                <w:szCs w:val="16"/>
                <w:lang w:val="en-US"/>
              </w:rPr>
              <w:t xml:space="preserve">THAT </w:t>
            </w:r>
            <w:proofErr w:type="spellStart"/>
            <w:r w:rsidRPr="005455E5">
              <w:rPr>
                <w:rFonts w:ascii="Arial" w:hAnsi="Arial" w:cs="Arial"/>
                <w:bCs/>
                <w:color w:val="000000"/>
                <w:sz w:val="16"/>
                <w:szCs w:val="16"/>
                <w:lang w:val="en-US"/>
              </w:rPr>
              <w:t>Yuriy</w:t>
            </w:r>
            <w:proofErr w:type="spellEnd"/>
            <w:r w:rsidRPr="005455E5">
              <w:rPr>
                <w:rFonts w:ascii="Arial" w:hAnsi="Arial" w:cs="Arial"/>
                <w:bCs/>
                <w:color w:val="000000"/>
                <w:sz w:val="16"/>
                <w:szCs w:val="16"/>
                <w:lang w:val="en-US"/>
              </w:rPr>
              <w:t xml:space="preserve"> </w:t>
            </w:r>
            <w:proofErr w:type="spellStart"/>
            <w:r w:rsidRPr="005455E5">
              <w:rPr>
                <w:rFonts w:ascii="Arial" w:hAnsi="Arial" w:cs="Arial"/>
                <w:bCs/>
                <w:color w:val="000000"/>
                <w:sz w:val="16"/>
                <w:szCs w:val="16"/>
                <w:lang w:val="en-US"/>
              </w:rPr>
              <w:t>Hordiychuk</w:t>
            </w:r>
            <w:proofErr w:type="spellEnd"/>
            <w:r w:rsidRPr="005455E5">
              <w:rPr>
                <w:rFonts w:ascii="Arial" w:hAnsi="Arial" w:cs="Arial"/>
                <w:bCs/>
                <w:color w:val="000000"/>
                <w:sz w:val="16"/>
                <w:szCs w:val="16"/>
                <w:lang w:val="en-US"/>
              </w:rPr>
              <w:t xml:space="preserve">, </w:t>
            </w:r>
            <w:r w:rsidRPr="003E52F5">
              <w:rPr>
                <w:rFonts w:ascii="Arial" w:hAnsi="Arial" w:cs="Arial"/>
                <w:color w:val="000000"/>
                <w:sz w:val="16"/>
                <w:szCs w:val="16"/>
                <w:lang w:val="en-US"/>
              </w:rPr>
              <w:t>who retires in accordance with Article 17 of the Articles of Association of the Company and who, being eligible, offers himself for re-election in accordance with the said Article 17, be and is hereby re-elected as a Director of the Company.</w:t>
            </w:r>
          </w:p>
        </w:tc>
        <w:tc>
          <w:tcPr>
            <w:tcW w:w="876"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48"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c>
          <w:tcPr>
            <w:tcW w:w="892" w:type="dxa"/>
          </w:tcPr>
          <w:p w:rsidR="00CC30BD" w:rsidRPr="005220FC" w:rsidRDefault="00CC30BD" w:rsidP="008D6EA6">
            <w:pPr>
              <w:jc w:val="center"/>
              <w:rPr>
                <w:rFonts w:ascii="Arial" w:hAnsi="Arial" w:cs="Arial"/>
                <w:sz w:val="16"/>
                <w:szCs w:val="16"/>
              </w:rPr>
            </w:pPr>
            <w:r w:rsidRPr="005220FC">
              <w:rPr>
                <w:rFonts w:ascii="Arial" w:hAnsi="Arial" w:cs="Arial"/>
                <w:sz w:val="16"/>
                <w:szCs w:val="16"/>
              </w:rPr>
              <w:t>□</w:t>
            </w:r>
          </w:p>
        </w:tc>
      </w:tr>
      <w:tr w:rsidR="00CC30BD" w:rsidRPr="003E52F5" w:rsidTr="008D6EA6">
        <w:tc>
          <w:tcPr>
            <w:tcW w:w="439" w:type="dxa"/>
            <w:shd w:val="clear" w:color="auto" w:fill="auto"/>
          </w:tcPr>
          <w:p w:rsidR="00CC30BD" w:rsidRPr="003E52F5" w:rsidRDefault="00CC30BD" w:rsidP="008D6EA6">
            <w:pPr>
              <w:jc w:val="both"/>
              <w:rPr>
                <w:rFonts w:ascii="Arial" w:hAnsi="Arial" w:cs="Arial"/>
                <w:sz w:val="16"/>
                <w:szCs w:val="16"/>
                <w:lang w:val="en-US"/>
              </w:rPr>
            </w:pPr>
            <w:r>
              <w:rPr>
                <w:rFonts w:ascii="Arial" w:hAnsi="Arial" w:cs="Arial"/>
                <w:sz w:val="16"/>
                <w:szCs w:val="16"/>
                <w:lang w:val="en-US"/>
              </w:rPr>
              <w:t>6.</w:t>
            </w:r>
          </w:p>
        </w:tc>
        <w:tc>
          <w:tcPr>
            <w:tcW w:w="5933" w:type="dxa"/>
            <w:shd w:val="clear" w:color="auto" w:fill="auto"/>
          </w:tcPr>
          <w:p w:rsidR="00CC30BD" w:rsidRPr="003E52F5" w:rsidRDefault="00CC30BD" w:rsidP="008D6EA6">
            <w:pPr>
              <w:spacing w:line="360" w:lineRule="auto"/>
              <w:rPr>
                <w:rFonts w:ascii="Arial" w:hAnsi="Arial" w:cs="Arial"/>
                <w:b/>
                <w:sz w:val="16"/>
                <w:szCs w:val="16"/>
                <w:lang w:val="en-US"/>
              </w:rPr>
            </w:pPr>
            <w:r w:rsidRPr="003E52F5">
              <w:rPr>
                <w:rFonts w:ascii="Arial" w:hAnsi="Arial" w:cs="Arial"/>
                <w:b/>
                <w:bCs/>
                <w:color w:val="000000"/>
                <w:sz w:val="16"/>
                <w:szCs w:val="16"/>
                <w:lang w:val="en-US"/>
              </w:rPr>
              <w:t xml:space="preserve">THAT </w:t>
            </w:r>
            <w:r w:rsidRPr="003E52F5">
              <w:rPr>
                <w:rFonts w:ascii="Arial" w:hAnsi="Arial" w:cs="Arial"/>
                <w:color w:val="000000"/>
                <w:sz w:val="16"/>
                <w:szCs w:val="16"/>
                <w:lang w:val="en-US"/>
              </w:rPr>
              <w:t xml:space="preserve">the appointment of Baker Tilly Channel Islands Limited as auditor of the Company to hold office until the conclusion of the next annual general meeting be and is hereby approved and that the Directors be and are hereby </w:t>
            </w:r>
            <w:proofErr w:type="spellStart"/>
            <w:r w:rsidRPr="003E52F5">
              <w:rPr>
                <w:rFonts w:ascii="Arial" w:hAnsi="Arial" w:cs="Arial"/>
                <w:color w:val="000000"/>
                <w:sz w:val="16"/>
                <w:szCs w:val="16"/>
                <w:lang w:val="en-US"/>
              </w:rPr>
              <w:t>authorised</w:t>
            </w:r>
            <w:proofErr w:type="spellEnd"/>
            <w:r w:rsidRPr="003E52F5">
              <w:rPr>
                <w:rFonts w:ascii="Arial" w:hAnsi="Arial" w:cs="Arial"/>
                <w:color w:val="000000"/>
                <w:sz w:val="16"/>
                <w:szCs w:val="16"/>
                <w:lang w:val="en-US"/>
              </w:rPr>
              <w:t xml:space="preserve"> to fix the auditor's remuneration.</w:t>
            </w:r>
          </w:p>
        </w:tc>
        <w:tc>
          <w:tcPr>
            <w:tcW w:w="876"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c>
          <w:tcPr>
            <w:tcW w:w="848"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c>
          <w:tcPr>
            <w:tcW w:w="892"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r>
      <w:tr w:rsidR="00CC30BD" w:rsidRPr="003E52F5" w:rsidTr="008D6EA6">
        <w:tc>
          <w:tcPr>
            <w:tcW w:w="6372" w:type="dxa"/>
            <w:gridSpan w:val="2"/>
            <w:shd w:val="clear" w:color="auto" w:fill="auto"/>
          </w:tcPr>
          <w:p w:rsidR="00CC30BD" w:rsidRPr="003E52F5" w:rsidRDefault="00CC30BD" w:rsidP="008D6EA6">
            <w:pPr>
              <w:jc w:val="both"/>
              <w:rPr>
                <w:rFonts w:ascii="Arial" w:hAnsi="Arial" w:cs="Arial"/>
                <w:b/>
                <w:sz w:val="16"/>
                <w:szCs w:val="16"/>
              </w:rPr>
            </w:pPr>
          </w:p>
          <w:p w:rsidR="00CC30BD" w:rsidRPr="003E52F5" w:rsidRDefault="00CC30BD" w:rsidP="008D6EA6">
            <w:pPr>
              <w:tabs>
                <w:tab w:val="left" w:pos="6014"/>
              </w:tabs>
              <w:ind w:right="-258"/>
              <w:jc w:val="both"/>
              <w:rPr>
                <w:rFonts w:ascii="Arial" w:hAnsi="Arial" w:cs="Arial"/>
                <w:b/>
                <w:sz w:val="16"/>
                <w:szCs w:val="16"/>
              </w:rPr>
            </w:pPr>
            <w:r w:rsidRPr="003E52F5">
              <w:rPr>
                <w:rFonts w:ascii="Arial" w:hAnsi="Arial" w:cs="Arial"/>
                <w:b/>
                <w:sz w:val="16"/>
                <w:szCs w:val="16"/>
              </w:rPr>
              <w:t>Special Resolution:</w:t>
            </w:r>
          </w:p>
          <w:p w:rsidR="00CC30BD" w:rsidRPr="003E52F5" w:rsidRDefault="00CC30BD" w:rsidP="008D6EA6">
            <w:pPr>
              <w:jc w:val="both"/>
              <w:rPr>
                <w:rFonts w:ascii="Arial" w:hAnsi="Arial" w:cs="Arial"/>
                <w:b/>
                <w:bCs/>
                <w:color w:val="000000"/>
                <w:sz w:val="16"/>
                <w:szCs w:val="16"/>
                <w:lang w:val="en-US"/>
              </w:rPr>
            </w:pPr>
          </w:p>
        </w:tc>
        <w:tc>
          <w:tcPr>
            <w:tcW w:w="876" w:type="dxa"/>
          </w:tcPr>
          <w:p w:rsidR="00CC30BD" w:rsidRPr="003E52F5" w:rsidRDefault="00CC30BD" w:rsidP="008D6EA6">
            <w:pPr>
              <w:jc w:val="both"/>
              <w:rPr>
                <w:rFonts w:ascii="Arial" w:hAnsi="Arial" w:cs="Arial"/>
                <w:sz w:val="16"/>
                <w:szCs w:val="16"/>
              </w:rPr>
            </w:pPr>
          </w:p>
        </w:tc>
        <w:tc>
          <w:tcPr>
            <w:tcW w:w="848" w:type="dxa"/>
          </w:tcPr>
          <w:p w:rsidR="00CC30BD" w:rsidRPr="003E52F5" w:rsidRDefault="00CC30BD" w:rsidP="008D6EA6">
            <w:pPr>
              <w:jc w:val="both"/>
              <w:rPr>
                <w:rFonts w:ascii="Arial" w:hAnsi="Arial" w:cs="Arial"/>
                <w:sz w:val="16"/>
                <w:szCs w:val="16"/>
              </w:rPr>
            </w:pPr>
          </w:p>
        </w:tc>
        <w:tc>
          <w:tcPr>
            <w:tcW w:w="892" w:type="dxa"/>
          </w:tcPr>
          <w:p w:rsidR="00CC30BD" w:rsidRPr="003E52F5" w:rsidRDefault="00CC30BD" w:rsidP="008D6EA6">
            <w:pPr>
              <w:jc w:val="both"/>
              <w:rPr>
                <w:rFonts w:ascii="Arial" w:hAnsi="Arial" w:cs="Arial"/>
                <w:sz w:val="16"/>
                <w:szCs w:val="16"/>
              </w:rPr>
            </w:pPr>
          </w:p>
        </w:tc>
      </w:tr>
      <w:tr w:rsidR="00CC30BD" w:rsidRPr="003E52F5" w:rsidTr="008D6EA6">
        <w:tc>
          <w:tcPr>
            <w:tcW w:w="439" w:type="dxa"/>
            <w:shd w:val="clear" w:color="auto" w:fill="auto"/>
          </w:tcPr>
          <w:p w:rsidR="00CC30BD" w:rsidRPr="003E52F5" w:rsidRDefault="00CC30BD" w:rsidP="008D6EA6">
            <w:pPr>
              <w:jc w:val="both"/>
              <w:rPr>
                <w:rFonts w:ascii="Arial" w:hAnsi="Arial" w:cs="Arial"/>
                <w:sz w:val="16"/>
                <w:szCs w:val="16"/>
                <w:lang w:val="en-US"/>
              </w:rPr>
            </w:pPr>
          </w:p>
          <w:p w:rsidR="00CC30BD" w:rsidRPr="003E52F5" w:rsidRDefault="00CC30BD" w:rsidP="008D6EA6">
            <w:pPr>
              <w:jc w:val="both"/>
              <w:rPr>
                <w:rFonts w:ascii="Arial" w:hAnsi="Arial" w:cs="Arial"/>
                <w:sz w:val="16"/>
                <w:szCs w:val="16"/>
                <w:lang w:val="en-US"/>
              </w:rPr>
            </w:pPr>
            <w:r>
              <w:rPr>
                <w:rFonts w:ascii="Arial" w:hAnsi="Arial" w:cs="Arial"/>
                <w:sz w:val="16"/>
                <w:szCs w:val="16"/>
                <w:lang w:val="en-US"/>
              </w:rPr>
              <w:t>7</w:t>
            </w:r>
            <w:r w:rsidRPr="003E52F5">
              <w:rPr>
                <w:rFonts w:ascii="Arial" w:hAnsi="Arial" w:cs="Arial"/>
                <w:sz w:val="16"/>
                <w:szCs w:val="16"/>
                <w:lang w:val="en-US"/>
              </w:rPr>
              <w:t>.</w:t>
            </w:r>
          </w:p>
        </w:tc>
        <w:tc>
          <w:tcPr>
            <w:tcW w:w="5933" w:type="dxa"/>
            <w:shd w:val="clear" w:color="auto" w:fill="auto"/>
          </w:tcPr>
          <w:p w:rsidR="00CC30BD" w:rsidRPr="005455E5" w:rsidRDefault="00CC30BD" w:rsidP="008D6EA6">
            <w:pPr>
              <w:spacing w:line="360" w:lineRule="auto"/>
              <w:rPr>
                <w:rFonts w:ascii="Arial" w:hAnsi="Arial" w:cs="Arial"/>
                <w:bCs/>
                <w:iCs/>
                <w:sz w:val="16"/>
                <w:szCs w:val="16"/>
                <w:lang w:val="en-US"/>
              </w:rPr>
            </w:pPr>
            <w:r w:rsidRPr="003E52F5">
              <w:rPr>
                <w:rFonts w:ascii="Arial" w:hAnsi="Arial" w:cs="Arial"/>
                <w:b/>
                <w:color w:val="000000"/>
                <w:sz w:val="16"/>
                <w:szCs w:val="16"/>
                <w:lang w:val="en-US"/>
              </w:rPr>
              <w:t>THAT</w:t>
            </w:r>
            <w:r w:rsidRPr="003E52F5">
              <w:rPr>
                <w:rFonts w:ascii="Arial" w:hAnsi="Arial" w:cs="Arial"/>
                <w:color w:val="000000"/>
                <w:sz w:val="16"/>
                <w:szCs w:val="16"/>
                <w:lang w:val="en-US"/>
              </w:rPr>
              <w:t xml:space="preserve"> </w:t>
            </w:r>
            <w:bookmarkStart w:id="0" w:name="_DV_M75"/>
            <w:bookmarkEnd w:id="0"/>
            <w:r w:rsidRPr="005455E5">
              <w:rPr>
                <w:rFonts w:ascii="Arial" w:hAnsi="Arial" w:cs="Arial"/>
                <w:iCs/>
                <w:sz w:val="16"/>
                <w:szCs w:val="16"/>
                <w:lang w:val="en-US"/>
              </w:rPr>
              <w:t xml:space="preserve">the Company be and is hereby unconditionally and generally </w:t>
            </w:r>
            <w:proofErr w:type="spellStart"/>
            <w:r w:rsidRPr="005455E5">
              <w:rPr>
                <w:rFonts w:ascii="Arial" w:hAnsi="Arial" w:cs="Arial"/>
                <w:iCs/>
                <w:sz w:val="16"/>
                <w:szCs w:val="16"/>
                <w:lang w:val="en-US"/>
              </w:rPr>
              <w:t>authorised</w:t>
            </w:r>
            <w:proofErr w:type="spellEnd"/>
            <w:r w:rsidRPr="005455E5">
              <w:rPr>
                <w:rFonts w:ascii="Arial" w:hAnsi="Arial" w:cs="Arial"/>
                <w:iCs/>
                <w:sz w:val="16"/>
                <w:szCs w:val="16"/>
                <w:lang w:val="en-US"/>
              </w:rPr>
              <w:t xml:space="preserve"> for the purposes of article 57 of the Companies (Jersey) Law 1991, as amended, to make one or more purchases of Ordinary Shares which are trading on AIM </w:t>
            </w:r>
            <w:r w:rsidRPr="003E52F5">
              <w:rPr>
                <w:rFonts w:ascii="Arial" w:hAnsi="Arial" w:cs="Arial"/>
                <w:bCs/>
                <w:iCs/>
                <w:color w:val="000000"/>
                <w:sz w:val="16"/>
                <w:szCs w:val="16"/>
                <w:lang w:val="en-US"/>
              </w:rPr>
              <w:t xml:space="preserve">and to hold any Ordinary Shares purchased under this authority as </w:t>
            </w:r>
            <w:r w:rsidRPr="005455E5">
              <w:rPr>
                <w:rFonts w:ascii="Arial" w:hAnsi="Arial" w:cs="Arial"/>
                <w:iCs/>
                <w:color w:val="000000"/>
                <w:sz w:val="16"/>
                <w:szCs w:val="16"/>
                <w:lang w:val="en-US"/>
              </w:rPr>
              <w:t>treasury shares,</w:t>
            </w:r>
            <w:r w:rsidRPr="005455E5">
              <w:rPr>
                <w:rFonts w:ascii="Arial" w:hAnsi="Arial" w:cs="Arial"/>
                <w:iCs/>
                <w:sz w:val="16"/>
                <w:szCs w:val="16"/>
                <w:lang w:val="en-US"/>
              </w:rPr>
              <w:t xml:space="preserve"> provided that:</w:t>
            </w: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sz w:val="16"/>
                <w:szCs w:val="16"/>
              </w:rPr>
            </w:pP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iCs/>
                <w:color w:val="000000"/>
                <w:sz w:val="16"/>
                <w:szCs w:val="16"/>
                <w:lang w:val="en-US"/>
              </w:rPr>
            </w:pPr>
            <w:r w:rsidRPr="003E52F5">
              <w:rPr>
                <w:rFonts w:ascii="Arial" w:hAnsi="Arial" w:cs="Arial"/>
                <w:iCs/>
                <w:color w:val="000000"/>
                <w:sz w:val="16"/>
                <w:szCs w:val="16"/>
                <w:lang w:val="en-US"/>
              </w:rPr>
              <w:t>(a)</w:t>
            </w:r>
            <w:r w:rsidRPr="003E52F5">
              <w:rPr>
                <w:rFonts w:ascii="Arial" w:hAnsi="Arial" w:cs="Arial"/>
                <w:iCs/>
                <w:color w:val="000000"/>
                <w:sz w:val="16"/>
                <w:szCs w:val="16"/>
                <w:lang w:val="en-US"/>
              </w:rPr>
              <w:tab/>
              <w:t xml:space="preserve">the maximum aggregate number of Ordinary Shares hereby </w:t>
            </w:r>
            <w:proofErr w:type="spellStart"/>
            <w:r w:rsidRPr="003E52F5">
              <w:rPr>
                <w:rFonts w:ascii="Arial" w:hAnsi="Arial" w:cs="Arial"/>
                <w:iCs/>
                <w:color w:val="000000"/>
                <w:sz w:val="16"/>
                <w:szCs w:val="16"/>
                <w:lang w:val="en-US"/>
              </w:rPr>
              <w:t>authorised</w:t>
            </w:r>
            <w:proofErr w:type="spellEnd"/>
            <w:r w:rsidRPr="003E52F5">
              <w:rPr>
                <w:rFonts w:ascii="Arial" w:hAnsi="Arial" w:cs="Arial"/>
                <w:iCs/>
                <w:color w:val="000000"/>
                <w:sz w:val="16"/>
                <w:szCs w:val="16"/>
                <w:lang w:val="en-US"/>
              </w:rPr>
              <w:t xml:space="preserve"> to be purchased is 9,000,000 representing 15% of the Company’s </w:t>
            </w:r>
            <w:proofErr w:type="spellStart"/>
            <w:r w:rsidRPr="003E52F5">
              <w:rPr>
                <w:rFonts w:ascii="Arial" w:hAnsi="Arial" w:cs="Arial"/>
                <w:iCs/>
                <w:color w:val="000000"/>
                <w:sz w:val="16"/>
                <w:szCs w:val="16"/>
                <w:lang w:val="en-US"/>
              </w:rPr>
              <w:t>authorised</w:t>
            </w:r>
            <w:proofErr w:type="spellEnd"/>
            <w:r w:rsidRPr="003E52F5">
              <w:rPr>
                <w:rFonts w:ascii="Arial" w:hAnsi="Arial" w:cs="Arial"/>
                <w:iCs/>
                <w:color w:val="000000"/>
                <w:sz w:val="16"/>
                <w:szCs w:val="16"/>
                <w:lang w:val="en-US"/>
              </w:rPr>
              <w:t xml:space="preserve"> Ordinary Share capital at the date of the passing of this resolution;</w:t>
            </w: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sz w:val="16"/>
                <w:szCs w:val="16"/>
              </w:rPr>
            </w:pPr>
          </w:p>
          <w:p w:rsidR="00CC30BD" w:rsidRPr="005455E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bCs/>
                <w:iCs/>
                <w:sz w:val="16"/>
                <w:szCs w:val="16"/>
                <w:lang w:val="en-US"/>
              </w:rPr>
            </w:pPr>
            <w:r w:rsidRPr="003E52F5">
              <w:rPr>
                <w:rFonts w:ascii="Arial" w:hAnsi="Arial" w:cs="Arial"/>
                <w:iCs/>
                <w:color w:val="000000"/>
                <w:sz w:val="16"/>
                <w:szCs w:val="16"/>
                <w:lang w:val="en-US"/>
              </w:rPr>
              <w:lastRenderedPageBreak/>
              <w:t>(b)</w:t>
            </w:r>
            <w:r w:rsidRPr="003E52F5">
              <w:rPr>
                <w:rFonts w:ascii="Arial" w:hAnsi="Arial" w:cs="Arial"/>
                <w:iCs/>
                <w:color w:val="000000"/>
                <w:sz w:val="16"/>
                <w:szCs w:val="16"/>
                <w:lang w:val="en-US"/>
              </w:rPr>
              <w:tab/>
              <w:t>the minimum price (exclusive of expenses) which may be paid for each Ordinary Share is £0.05 (5 pence);</w:t>
            </w: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sz w:val="16"/>
                <w:szCs w:val="16"/>
              </w:rPr>
            </w:pP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iCs/>
                <w:color w:val="000000"/>
                <w:sz w:val="16"/>
                <w:szCs w:val="16"/>
                <w:lang w:val="en-US"/>
              </w:rPr>
            </w:pPr>
            <w:r w:rsidRPr="003E52F5">
              <w:rPr>
                <w:rFonts w:ascii="Arial" w:hAnsi="Arial" w:cs="Arial"/>
                <w:iCs/>
                <w:color w:val="000000"/>
                <w:sz w:val="16"/>
                <w:szCs w:val="16"/>
                <w:lang w:val="en-US"/>
              </w:rPr>
              <w:t>(c)</w:t>
            </w:r>
            <w:r w:rsidRPr="003E52F5">
              <w:rPr>
                <w:rFonts w:ascii="Arial" w:hAnsi="Arial" w:cs="Arial"/>
                <w:iCs/>
                <w:color w:val="000000"/>
                <w:sz w:val="16"/>
                <w:szCs w:val="16"/>
                <w:lang w:val="en-US"/>
              </w:rPr>
              <w:tab/>
              <w:t>the maximum price (exclusive of expenses) which may be paid for an Ordinary Share is an amount equal to no more than 3% above the average of the closing price for an Ordinary Share as derived from AIM for the five business days immediately preceding the day on which the Ordinary Share is contracted to be purchased;</w:t>
            </w: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sz w:val="16"/>
                <w:szCs w:val="16"/>
              </w:rPr>
            </w:pPr>
          </w:p>
          <w:p w:rsidR="00CC30BD" w:rsidRPr="005455E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bCs/>
                <w:iCs/>
                <w:sz w:val="16"/>
                <w:szCs w:val="16"/>
                <w:lang w:val="en-US"/>
              </w:rPr>
            </w:pPr>
            <w:r w:rsidRPr="003E52F5">
              <w:rPr>
                <w:rFonts w:ascii="Arial" w:hAnsi="Arial" w:cs="Arial"/>
                <w:iCs/>
                <w:color w:val="000000"/>
                <w:sz w:val="16"/>
                <w:szCs w:val="16"/>
                <w:lang w:val="en-US"/>
              </w:rPr>
              <w:t>(d)</w:t>
            </w:r>
            <w:r w:rsidRPr="003E52F5">
              <w:rPr>
                <w:rFonts w:ascii="Arial" w:hAnsi="Arial" w:cs="Arial"/>
                <w:iCs/>
                <w:color w:val="000000"/>
                <w:sz w:val="16"/>
                <w:szCs w:val="16"/>
                <w:lang w:val="en-US"/>
              </w:rPr>
              <w:tab/>
              <w:t>unless previously revoked or varied, this authority shall expire at the annual genera</w:t>
            </w:r>
            <w:r>
              <w:rPr>
                <w:rFonts w:ascii="Arial" w:hAnsi="Arial" w:cs="Arial"/>
                <w:iCs/>
                <w:color w:val="000000"/>
                <w:sz w:val="16"/>
                <w:szCs w:val="16"/>
                <w:lang w:val="en-US"/>
              </w:rPr>
              <w:t>l meeting of the Company in 2016</w:t>
            </w:r>
            <w:r w:rsidRPr="003E52F5">
              <w:rPr>
                <w:rFonts w:ascii="Arial" w:hAnsi="Arial" w:cs="Arial"/>
                <w:iCs/>
                <w:color w:val="000000"/>
                <w:sz w:val="16"/>
                <w:szCs w:val="16"/>
                <w:lang w:val="en-US"/>
              </w:rPr>
              <w:t>; and</w:t>
            </w:r>
          </w:p>
          <w:p w:rsidR="00CC30BD" w:rsidRPr="003E52F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sz w:val="16"/>
                <w:szCs w:val="16"/>
              </w:rPr>
            </w:pPr>
          </w:p>
          <w:p w:rsidR="00CC30BD" w:rsidRPr="005455E5" w:rsidRDefault="00CC30BD" w:rsidP="008D6EA6">
            <w:pPr>
              <w:tabs>
                <w:tab w:val="left" w:pos="709"/>
                <w:tab w:val="left" w:pos="1418"/>
                <w:tab w:val="left" w:pos="2126"/>
                <w:tab w:val="left" w:pos="2835"/>
                <w:tab w:val="left" w:pos="3544"/>
                <w:tab w:val="left" w:pos="4253"/>
                <w:tab w:val="right" w:pos="8930"/>
              </w:tabs>
              <w:spacing w:line="360" w:lineRule="auto"/>
              <w:rPr>
                <w:rFonts w:ascii="Arial" w:hAnsi="Arial" w:cs="Arial"/>
                <w:sz w:val="16"/>
                <w:szCs w:val="16"/>
                <w:lang w:val="en-US"/>
              </w:rPr>
            </w:pPr>
            <w:r w:rsidRPr="003E52F5">
              <w:rPr>
                <w:rFonts w:ascii="Arial" w:hAnsi="Arial" w:cs="Arial"/>
                <w:iCs/>
                <w:color w:val="000000"/>
                <w:sz w:val="16"/>
                <w:szCs w:val="16"/>
                <w:lang w:val="en-US"/>
              </w:rPr>
              <w:t>(e)</w:t>
            </w:r>
            <w:r w:rsidRPr="003E52F5">
              <w:rPr>
                <w:rFonts w:ascii="Arial" w:hAnsi="Arial" w:cs="Arial"/>
                <w:iCs/>
                <w:color w:val="000000"/>
                <w:sz w:val="16"/>
                <w:szCs w:val="16"/>
                <w:lang w:val="en-US"/>
              </w:rPr>
              <w:tab/>
            </w:r>
            <w:proofErr w:type="gramStart"/>
            <w:r w:rsidRPr="003E52F5">
              <w:rPr>
                <w:rFonts w:ascii="Arial" w:hAnsi="Arial" w:cs="Arial"/>
                <w:iCs/>
                <w:color w:val="000000"/>
                <w:sz w:val="16"/>
                <w:szCs w:val="16"/>
                <w:lang w:val="en-US"/>
              </w:rPr>
              <w:t>a</w:t>
            </w:r>
            <w:proofErr w:type="gramEnd"/>
            <w:r w:rsidRPr="003E52F5">
              <w:rPr>
                <w:rFonts w:ascii="Arial" w:hAnsi="Arial" w:cs="Arial"/>
                <w:iCs/>
                <w:color w:val="000000"/>
                <w:sz w:val="16"/>
                <w:szCs w:val="16"/>
                <w:lang w:val="en-US"/>
              </w:rPr>
              <w:t xml:space="preserve"> contract to purchase Ordinary Shares under this authority may be made prior to the expiry of this authority, and concluded in whole or in part after the expiry of this authority.</w:t>
            </w:r>
          </w:p>
          <w:p w:rsidR="00CC30BD" w:rsidRPr="005455E5" w:rsidRDefault="00CC30BD" w:rsidP="008D6EA6">
            <w:pPr>
              <w:jc w:val="both"/>
              <w:rPr>
                <w:rFonts w:ascii="Arial" w:hAnsi="Arial" w:cs="Arial"/>
                <w:b/>
                <w:sz w:val="16"/>
                <w:szCs w:val="16"/>
                <w:lang w:val="en-US"/>
              </w:rPr>
            </w:pPr>
          </w:p>
        </w:tc>
        <w:tc>
          <w:tcPr>
            <w:tcW w:w="876"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lastRenderedPageBreak/>
              <w:t>□</w:t>
            </w:r>
          </w:p>
        </w:tc>
        <w:tc>
          <w:tcPr>
            <w:tcW w:w="848"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c>
          <w:tcPr>
            <w:tcW w:w="892" w:type="dxa"/>
          </w:tcPr>
          <w:p w:rsidR="00CC30BD" w:rsidRPr="003E52F5" w:rsidRDefault="00CC30BD" w:rsidP="008D6EA6">
            <w:pPr>
              <w:jc w:val="center"/>
              <w:rPr>
                <w:rFonts w:ascii="Arial" w:hAnsi="Arial" w:cs="Arial"/>
                <w:sz w:val="16"/>
                <w:szCs w:val="16"/>
              </w:rPr>
            </w:pPr>
            <w:r w:rsidRPr="003E52F5">
              <w:rPr>
                <w:rFonts w:ascii="Arial" w:hAnsi="Arial" w:cs="Arial"/>
                <w:sz w:val="16"/>
                <w:szCs w:val="16"/>
              </w:rPr>
              <w:t>□</w:t>
            </w:r>
          </w:p>
        </w:tc>
      </w:tr>
    </w:tbl>
    <w:p w:rsidR="00CC30BD" w:rsidRPr="003E52F5" w:rsidRDefault="00CC30BD" w:rsidP="00CC30BD">
      <w:pPr>
        <w:jc w:val="both"/>
        <w:rPr>
          <w:rFonts w:ascii="Arial" w:hAnsi="Arial" w:cs="Arial"/>
          <w:sz w:val="16"/>
          <w:szCs w:val="16"/>
        </w:rPr>
      </w:pPr>
    </w:p>
    <w:p w:rsidR="00CC30BD" w:rsidRPr="003E52F5" w:rsidRDefault="00CC30BD" w:rsidP="00CC30BD">
      <w:pPr>
        <w:jc w:val="both"/>
        <w:rPr>
          <w:rFonts w:ascii="Arial" w:hAnsi="Arial" w:cs="Arial"/>
          <w:sz w:val="16"/>
          <w:szCs w:val="16"/>
        </w:rPr>
      </w:pPr>
    </w:p>
    <w:p w:rsidR="00CC30BD" w:rsidRDefault="00CC30BD" w:rsidP="00CC30BD">
      <w:pPr>
        <w:keepNext/>
        <w:jc w:val="both"/>
        <w:rPr>
          <w:rFonts w:ascii="Arial" w:hAnsi="Arial" w:cs="Arial"/>
          <w:b/>
          <w:sz w:val="16"/>
          <w:szCs w:val="16"/>
        </w:rPr>
      </w:pPr>
    </w:p>
    <w:p w:rsidR="00CC30BD" w:rsidRPr="003E52F5" w:rsidRDefault="00CC30BD" w:rsidP="00CC30BD">
      <w:pPr>
        <w:keepNext/>
        <w:jc w:val="both"/>
        <w:rPr>
          <w:rFonts w:ascii="Arial" w:hAnsi="Arial" w:cs="Arial"/>
          <w:b/>
          <w:sz w:val="16"/>
          <w:szCs w:val="16"/>
        </w:rPr>
      </w:pPr>
      <w:r w:rsidRPr="003E52F5">
        <w:rPr>
          <w:rFonts w:ascii="Arial" w:hAnsi="Arial" w:cs="Arial"/>
          <w:b/>
          <w:sz w:val="16"/>
          <w:szCs w:val="16"/>
        </w:rPr>
        <w:t>Signed: (see Note 7) ……………………………………………………………………………………….     this………… day of…………………………………201</w:t>
      </w:r>
      <w:r>
        <w:rPr>
          <w:rFonts w:ascii="Arial" w:hAnsi="Arial" w:cs="Arial"/>
          <w:b/>
          <w:sz w:val="16"/>
          <w:szCs w:val="16"/>
        </w:rPr>
        <w:t>5</w:t>
      </w:r>
    </w:p>
    <w:p w:rsidR="00CC30BD" w:rsidRPr="003E52F5" w:rsidRDefault="00CC30BD" w:rsidP="00CC30BD">
      <w:pPr>
        <w:keepNext/>
        <w:jc w:val="both"/>
        <w:rPr>
          <w:rFonts w:ascii="Arial" w:hAnsi="Arial" w:cs="Arial"/>
          <w:b/>
          <w:sz w:val="16"/>
          <w:szCs w:val="16"/>
        </w:rPr>
      </w:pPr>
    </w:p>
    <w:p w:rsidR="00CC30BD" w:rsidRPr="003E52F5" w:rsidRDefault="00CC30BD" w:rsidP="00CC30BD">
      <w:pPr>
        <w:keepNext/>
        <w:jc w:val="both"/>
        <w:rPr>
          <w:rFonts w:ascii="Arial" w:hAnsi="Arial" w:cs="Arial"/>
          <w:b/>
          <w:sz w:val="16"/>
          <w:szCs w:val="16"/>
        </w:rPr>
      </w:pPr>
    </w:p>
    <w:p w:rsidR="00CC30BD" w:rsidRPr="003E52F5" w:rsidRDefault="00CC30BD" w:rsidP="00CC30BD">
      <w:pPr>
        <w:keepNext/>
        <w:jc w:val="both"/>
        <w:rPr>
          <w:rFonts w:ascii="Arial" w:hAnsi="Arial" w:cs="Arial"/>
          <w:b/>
          <w:sz w:val="16"/>
          <w:szCs w:val="16"/>
        </w:rPr>
      </w:pPr>
    </w:p>
    <w:p w:rsidR="00CC30BD" w:rsidRPr="003E52F5" w:rsidRDefault="00CC30BD" w:rsidP="00CC30BD">
      <w:pPr>
        <w:keepNext/>
        <w:jc w:val="both"/>
        <w:rPr>
          <w:rFonts w:ascii="Arial" w:hAnsi="Arial" w:cs="Arial"/>
          <w:b/>
          <w:sz w:val="16"/>
          <w:szCs w:val="16"/>
        </w:rPr>
      </w:pPr>
      <w:r w:rsidRPr="003E52F5">
        <w:rPr>
          <w:rFonts w:ascii="Arial" w:hAnsi="Arial" w:cs="Arial"/>
          <w:b/>
          <w:sz w:val="16"/>
          <w:szCs w:val="16"/>
        </w:rPr>
        <w:t>Notes:</w:t>
      </w:r>
    </w:p>
    <w:p w:rsidR="00CC30BD" w:rsidRPr="003E52F5" w:rsidRDefault="00CC30BD" w:rsidP="00CC30BD">
      <w:pPr>
        <w:keepNext/>
        <w:jc w:val="both"/>
        <w:rPr>
          <w:rFonts w:ascii="Arial" w:hAnsi="Arial" w:cs="Arial"/>
          <w:sz w:val="16"/>
          <w:szCs w:val="16"/>
        </w:rPr>
      </w:pPr>
    </w:p>
    <w:p w:rsidR="00CC30BD" w:rsidRPr="003E52F5" w:rsidRDefault="00CC30BD" w:rsidP="00CC30BD">
      <w:pPr>
        <w:autoSpaceDE w:val="0"/>
        <w:autoSpaceDN w:val="0"/>
        <w:adjustRightInd w:val="0"/>
        <w:ind w:left="550" w:hanging="550"/>
        <w:jc w:val="both"/>
        <w:rPr>
          <w:rFonts w:ascii="Arial" w:hAnsi="Arial" w:cs="Arial"/>
          <w:sz w:val="16"/>
          <w:szCs w:val="16"/>
        </w:rPr>
      </w:pPr>
      <w:r w:rsidRPr="003E52F5">
        <w:rPr>
          <w:rFonts w:ascii="Arial" w:hAnsi="Arial" w:cs="Arial"/>
          <w:sz w:val="16"/>
          <w:szCs w:val="16"/>
        </w:rPr>
        <w:t>1.</w:t>
      </w:r>
      <w:r w:rsidRPr="003E52F5">
        <w:rPr>
          <w:rFonts w:ascii="Arial" w:hAnsi="Arial" w:cs="Arial"/>
          <w:sz w:val="16"/>
          <w:szCs w:val="16"/>
        </w:rPr>
        <w:tab/>
        <w:t>As a member of the Company you are entitled to appoint a proxy to exercise all or any of your rights to attend, speak and vote at a general meeting of the company.  You can only appoint a proxy using the procedures set out in these notes.</w:t>
      </w:r>
    </w:p>
    <w:p w:rsidR="00CC30BD" w:rsidRPr="003E52F5" w:rsidRDefault="00CC30BD" w:rsidP="00CC30BD">
      <w:pPr>
        <w:autoSpaceDE w:val="0"/>
        <w:autoSpaceDN w:val="0"/>
        <w:adjustRightInd w:val="0"/>
        <w:ind w:left="550" w:hanging="550"/>
        <w:jc w:val="both"/>
        <w:rPr>
          <w:rFonts w:ascii="Arial" w:hAnsi="Arial" w:cs="Arial"/>
          <w:sz w:val="16"/>
          <w:szCs w:val="16"/>
        </w:rPr>
      </w:pPr>
    </w:p>
    <w:p w:rsidR="00CC30BD" w:rsidRPr="003E52F5" w:rsidRDefault="00CC30BD" w:rsidP="00CC30BD">
      <w:pPr>
        <w:autoSpaceDE w:val="0"/>
        <w:autoSpaceDN w:val="0"/>
        <w:adjustRightInd w:val="0"/>
        <w:ind w:left="550" w:hanging="550"/>
        <w:jc w:val="both"/>
        <w:rPr>
          <w:rFonts w:ascii="Arial" w:hAnsi="Arial" w:cs="Arial"/>
          <w:sz w:val="16"/>
          <w:szCs w:val="16"/>
        </w:rPr>
      </w:pPr>
      <w:r w:rsidRPr="003E52F5">
        <w:rPr>
          <w:rFonts w:ascii="Arial" w:hAnsi="Arial" w:cs="Arial"/>
          <w:sz w:val="16"/>
          <w:szCs w:val="16"/>
        </w:rPr>
        <w:t>2.</w:t>
      </w:r>
      <w:r w:rsidRPr="003E52F5">
        <w:rPr>
          <w:rFonts w:ascii="Arial" w:hAnsi="Arial" w:cs="Arial"/>
          <w:sz w:val="16"/>
          <w:szCs w:val="16"/>
        </w:rPr>
        <w:tab/>
        <w:t xml:space="preserve">To be valid this Form of Proxy, together with any power of attorney, or other authority (if any) under which it was signed or a </w:t>
      </w:r>
      <w:proofErr w:type="spellStart"/>
      <w:r w:rsidRPr="003E52F5">
        <w:rPr>
          <w:rFonts w:ascii="Arial" w:hAnsi="Arial" w:cs="Arial"/>
          <w:sz w:val="16"/>
          <w:szCs w:val="16"/>
        </w:rPr>
        <w:t>notarially</w:t>
      </w:r>
      <w:proofErr w:type="spellEnd"/>
      <w:r w:rsidRPr="003E52F5">
        <w:rPr>
          <w:rFonts w:ascii="Arial" w:hAnsi="Arial" w:cs="Arial"/>
          <w:sz w:val="16"/>
          <w:szCs w:val="16"/>
        </w:rPr>
        <w:t xml:space="preserve"> certified copy of such power or authority, must reach the Company's registrars, </w:t>
      </w:r>
      <w:r w:rsidRPr="00F00BC7">
        <w:rPr>
          <w:rFonts w:ascii="Arial" w:hAnsi="Arial" w:cs="Arial"/>
          <w:sz w:val="16"/>
          <w:szCs w:val="16"/>
        </w:rPr>
        <w:t>Neville Registrars, Neville House, 18 Laurel Lane, Halesowen, B63 3DA</w:t>
      </w:r>
      <w:r w:rsidRPr="003E52F5">
        <w:rPr>
          <w:rFonts w:ascii="Arial" w:hAnsi="Arial" w:cs="Arial"/>
          <w:sz w:val="16"/>
          <w:szCs w:val="16"/>
        </w:rPr>
        <w:t xml:space="preserve">, no later than </w:t>
      </w:r>
      <w:r>
        <w:rPr>
          <w:rFonts w:ascii="Arial" w:hAnsi="Arial" w:cs="Arial"/>
          <w:sz w:val="16"/>
          <w:szCs w:val="16"/>
        </w:rPr>
        <w:t>6</w:t>
      </w:r>
      <w:r w:rsidRPr="003E52F5">
        <w:rPr>
          <w:rFonts w:ascii="Arial" w:hAnsi="Arial" w:cs="Arial"/>
          <w:sz w:val="16"/>
          <w:szCs w:val="16"/>
        </w:rPr>
        <w:t xml:space="preserve">pm (London time) on </w:t>
      </w:r>
      <w:r>
        <w:rPr>
          <w:rFonts w:ascii="Arial" w:hAnsi="Arial" w:cs="Arial"/>
          <w:sz w:val="16"/>
          <w:szCs w:val="16"/>
        </w:rPr>
        <w:t>22 July</w:t>
      </w:r>
      <w:r w:rsidRPr="003E52F5">
        <w:rPr>
          <w:rFonts w:ascii="Arial" w:hAnsi="Arial" w:cs="Arial"/>
          <w:sz w:val="16"/>
          <w:szCs w:val="16"/>
        </w:rPr>
        <w:t xml:space="preserve"> 201</w:t>
      </w:r>
      <w:r>
        <w:rPr>
          <w:rFonts w:ascii="Arial" w:hAnsi="Arial" w:cs="Arial"/>
          <w:sz w:val="16"/>
          <w:szCs w:val="16"/>
        </w:rPr>
        <w:t>5</w:t>
      </w:r>
      <w:r w:rsidRPr="003E52F5">
        <w:rPr>
          <w:rFonts w:ascii="Arial" w:hAnsi="Arial" w:cs="Arial"/>
          <w:sz w:val="16"/>
          <w:szCs w:val="16"/>
        </w:rPr>
        <w:t>, or in the case of any adjournment of the Annual General Meeting, no later than 4</w:t>
      </w:r>
      <w:r>
        <w:rPr>
          <w:rFonts w:ascii="Arial" w:hAnsi="Arial" w:cs="Arial"/>
          <w:sz w:val="16"/>
          <w:szCs w:val="16"/>
        </w:rPr>
        <w:t>6</w:t>
      </w:r>
      <w:r w:rsidRPr="003E52F5">
        <w:rPr>
          <w:rFonts w:ascii="Arial" w:hAnsi="Arial" w:cs="Arial"/>
          <w:sz w:val="16"/>
          <w:szCs w:val="16"/>
        </w:rPr>
        <w:t xml:space="preserve"> hours prior to the time of such adjournment.</w:t>
      </w:r>
    </w:p>
    <w:p w:rsidR="00CC30BD" w:rsidRPr="003E52F5" w:rsidRDefault="00CC30BD" w:rsidP="00CC30BD">
      <w:pPr>
        <w:ind w:left="550" w:hanging="550"/>
        <w:jc w:val="both"/>
        <w:rPr>
          <w:rFonts w:ascii="Arial" w:hAnsi="Arial" w:cs="Arial"/>
          <w:sz w:val="16"/>
          <w:szCs w:val="16"/>
        </w:rPr>
      </w:pPr>
    </w:p>
    <w:p w:rsidR="00CC30BD" w:rsidRPr="003E52F5" w:rsidRDefault="00CC30BD" w:rsidP="00CC30BD">
      <w:pPr>
        <w:ind w:left="550" w:hanging="550"/>
        <w:jc w:val="both"/>
        <w:rPr>
          <w:rFonts w:ascii="Arial" w:hAnsi="Arial" w:cs="Arial"/>
          <w:sz w:val="16"/>
          <w:szCs w:val="16"/>
        </w:rPr>
      </w:pPr>
      <w:r w:rsidRPr="003E52F5">
        <w:rPr>
          <w:rFonts w:ascii="Arial" w:hAnsi="Arial" w:cs="Arial"/>
          <w:sz w:val="16"/>
          <w:szCs w:val="16"/>
        </w:rPr>
        <w:t xml:space="preserve">3. </w:t>
      </w:r>
      <w:r w:rsidRPr="003E52F5">
        <w:rPr>
          <w:rFonts w:ascii="Arial" w:hAnsi="Arial" w:cs="Arial"/>
          <w:sz w:val="16"/>
          <w:szCs w:val="16"/>
        </w:rPr>
        <w:tab/>
        <w:t>Where this Form of Proxy is executed by a corporation it must be either under its seal or under the hand of an officer or attorney duly authorised.</w:t>
      </w:r>
    </w:p>
    <w:p w:rsidR="00CC30BD" w:rsidRPr="003E52F5" w:rsidRDefault="00CC30BD" w:rsidP="00CC30BD">
      <w:pPr>
        <w:ind w:left="550" w:hanging="550"/>
        <w:jc w:val="both"/>
        <w:rPr>
          <w:rFonts w:ascii="Arial" w:hAnsi="Arial" w:cs="Arial"/>
          <w:sz w:val="16"/>
          <w:szCs w:val="16"/>
        </w:rPr>
      </w:pPr>
    </w:p>
    <w:p w:rsidR="00CC30BD" w:rsidRPr="003E52F5" w:rsidRDefault="00CC30BD" w:rsidP="00CC30BD">
      <w:pPr>
        <w:ind w:left="550" w:hanging="550"/>
        <w:jc w:val="both"/>
        <w:rPr>
          <w:rFonts w:ascii="Arial" w:hAnsi="Arial" w:cs="Arial"/>
          <w:sz w:val="16"/>
          <w:szCs w:val="16"/>
        </w:rPr>
      </w:pPr>
      <w:r w:rsidRPr="003E52F5">
        <w:rPr>
          <w:rFonts w:ascii="Arial" w:hAnsi="Arial" w:cs="Arial"/>
          <w:sz w:val="16"/>
          <w:szCs w:val="16"/>
        </w:rPr>
        <w:t>4.</w:t>
      </w:r>
      <w:r w:rsidRPr="003E52F5">
        <w:rPr>
          <w:rFonts w:ascii="Arial" w:hAnsi="Arial" w:cs="Arial"/>
          <w:sz w:val="16"/>
          <w:szCs w:val="16"/>
        </w:rPr>
        <w:tab/>
        <w:t>Any alteration to this Form of Proxy must be initialled by the signatory.</w:t>
      </w:r>
    </w:p>
    <w:p w:rsidR="00CC30BD" w:rsidRPr="003E52F5" w:rsidRDefault="00CC30BD" w:rsidP="00CC30BD">
      <w:pPr>
        <w:ind w:left="550" w:hanging="550"/>
        <w:jc w:val="both"/>
        <w:rPr>
          <w:rFonts w:ascii="Arial" w:hAnsi="Arial" w:cs="Arial"/>
          <w:sz w:val="16"/>
          <w:szCs w:val="16"/>
        </w:rPr>
      </w:pPr>
    </w:p>
    <w:p w:rsidR="00CC30BD" w:rsidRPr="003E52F5" w:rsidRDefault="00CC30BD" w:rsidP="00CC30BD">
      <w:pPr>
        <w:ind w:left="550" w:hanging="550"/>
        <w:jc w:val="both"/>
        <w:rPr>
          <w:rFonts w:ascii="Arial" w:hAnsi="Arial" w:cs="Arial"/>
          <w:sz w:val="16"/>
          <w:szCs w:val="16"/>
        </w:rPr>
      </w:pPr>
      <w:r w:rsidRPr="003E52F5">
        <w:rPr>
          <w:rFonts w:ascii="Arial" w:hAnsi="Arial" w:cs="Arial"/>
          <w:sz w:val="16"/>
          <w:szCs w:val="16"/>
        </w:rPr>
        <w:t>5.</w:t>
      </w:r>
      <w:r w:rsidRPr="003E52F5">
        <w:rPr>
          <w:rFonts w:ascii="Arial" w:hAnsi="Arial" w:cs="Arial"/>
          <w:sz w:val="16"/>
          <w:szCs w:val="16"/>
        </w:rPr>
        <w:tab/>
        <w:t>Appointment of a proxy will not preclude a member from attending the meeting and voting in person. If you have appointed a proxy and attend the meeting in person, your proxy appointment will automatically be terminated.</w:t>
      </w:r>
    </w:p>
    <w:p w:rsidR="00CC30BD" w:rsidRPr="003E52F5" w:rsidRDefault="00CC30BD" w:rsidP="00CC30BD">
      <w:pPr>
        <w:ind w:left="550" w:hanging="550"/>
        <w:jc w:val="both"/>
        <w:rPr>
          <w:rFonts w:ascii="Arial" w:hAnsi="Arial" w:cs="Arial"/>
          <w:sz w:val="16"/>
          <w:szCs w:val="16"/>
        </w:rPr>
      </w:pPr>
    </w:p>
    <w:p w:rsidR="00CC30BD" w:rsidRPr="003E52F5" w:rsidRDefault="00CC30BD" w:rsidP="00CC30BD">
      <w:pPr>
        <w:ind w:left="550" w:hanging="550"/>
        <w:jc w:val="both"/>
        <w:rPr>
          <w:rFonts w:ascii="Arial" w:hAnsi="Arial" w:cs="Arial"/>
          <w:sz w:val="16"/>
          <w:szCs w:val="16"/>
        </w:rPr>
      </w:pPr>
      <w:r w:rsidRPr="003E52F5">
        <w:rPr>
          <w:rFonts w:ascii="Arial" w:hAnsi="Arial" w:cs="Arial"/>
          <w:sz w:val="16"/>
          <w:szCs w:val="16"/>
        </w:rPr>
        <w:t>6.</w:t>
      </w:r>
      <w:r w:rsidRPr="003E52F5">
        <w:rPr>
          <w:rFonts w:ascii="Arial" w:hAnsi="Arial" w:cs="Arial"/>
          <w:sz w:val="16"/>
          <w:szCs w:val="16"/>
        </w:rPr>
        <w:tab/>
        <w:t>A proxy need not be a member of the Company but must attend the meeting to represent you. To appoint as your proxy a person other than the Chairman of the meeting, insert their full name in the space provided.  If you sign and return this Form of Proxy with no name inserted in the space provided,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w:t>
      </w:r>
    </w:p>
    <w:p w:rsidR="00CC30BD" w:rsidRPr="003E52F5" w:rsidRDefault="00CC30BD" w:rsidP="00CC30BD">
      <w:pPr>
        <w:ind w:left="550" w:hanging="550"/>
        <w:jc w:val="both"/>
        <w:rPr>
          <w:rFonts w:ascii="Arial" w:hAnsi="Arial" w:cs="Arial"/>
          <w:sz w:val="16"/>
          <w:szCs w:val="16"/>
        </w:rPr>
      </w:pPr>
    </w:p>
    <w:p w:rsidR="00CC30BD" w:rsidRPr="003E52F5" w:rsidRDefault="00CC30BD" w:rsidP="00CC30BD">
      <w:pPr>
        <w:ind w:left="550" w:hanging="550"/>
        <w:jc w:val="both"/>
        <w:rPr>
          <w:rFonts w:ascii="Arial" w:hAnsi="Arial" w:cs="Arial"/>
          <w:sz w:val="16"/>
          <w:szCs w:val="16"/>
        </w:rPr>
      </w:pPr>
      <w:r w:rsidRPr="003E52F5">
        <w:rPr>
          <w:rFonts w:ascii="Arial" w:hAnsi="Arial" w:cs="Arial"/>
          <w:sz w:val="16"/>
          <w:szCs w:val="16"/>
        </w:rPr>
        <w:t>7.</w:t>
      </w:r>
      <w:r w:rsidRPr="003E52F5">
        <w:rPr>
          <w:rFonts w:ascii="Arial" w:hAnsi="Arial" w:cs="Arial"/>
          <w:sz w:val="16"/>
          <w:szCs w:val="16"/>
        </w:rPr>
        <w:tab/>
        <w:t xml:space="preserve">In the case of joint holders, only one need sign this Form of Proxy, but the names of all the joint holders should be stated and the vote of the senior who tenders a vote, whether in person or by proxy, will be accepted to the exclusion of the votes of the other joint holders and for this purpose seniority shall be determined by the order in which the names stand in the register of members (other than in the event that such joint holders shall have already notified the Company in writing as to which of their number shall represent them). </w:t>
      </w:r>
    </w:p>
    <w:p w:rsidR="00CC30BD" w:rsidRPr="003E52F5" w:rsidRDefault="00CC30BD" w:rsidP="00CC30BD">
      <w:pPr>
        <w:ind w:left="550" w:hanging="550"/>
        <w:jc w:val="both"/>
        <w:rPr>
          <w:rFonts w:ascii="Arial" w:hAnsi="Arial" w:cs="Arial"/>
          <w:sz w:val="16"/>
          <w:szCs w:val="16"/>
        </w:rPr>
      </w:pPr>
    </w:p>
    <w:p w:rsidR="00CC30BD" w:rsidRPr="003E52F5" w:rsidRDefault="00CC30BD" w:rsidP="00CC30BD">
      <w:pPr>
        <w:ind w:left="550" w:hanging="550"/>
        <w:jc w:val="both"/>
        <w:rPr>
          <w:rFonts w:ascii="Arial" w:hAnsi="Arial" w:cs="Arial"/>
          <w:sz w:val="16"/>
          <w:szCs w:val="16"/>
        </w:rPr>
      </w:pPr>
      <w:r w:rsidRPr="003E52F5">
        <w:rPr>
          <w:rFonts w:ascii="Arial" w:hAnsi="Arial" w:cs="Arial"/>
          <w:sz w:val="16"/>
          <w:szCs w:val="16"/>
        </w:rPr>
        <w:t xml:space="preserve">8. </w:t>
      </w:r>
      <w:r w:rsidRPr="003E52F5">
        <w:rPr>
          <w:rFonts w:ascii="Arial" w:hAnsi="Arial" w:cs="Arial"/>
          <w:sz w:val="16"/>
          <w:szCs w:val="16"/>
        </w:rPr>
        <w:tab/>
        <w:t>You may appoint more than one proxy provided each proxy is appointed to exercise rights attached to different shares. You may not appoint more than one proxy to exercise rights attached to any one share.  To appoint more than one proxy you may photocopy this Form of Proxy.  Please indicate the proxy holder's name and the number of shares in relation to which they are authorised to act as your proxy (which, in aggregate, should not exceed the number of shares held by you).  Please also indicate if the proxy instruction is one of multiple instructions being given. All forms must be signed and should be returned together in the same envelope.</w:t>
      </w:r>
    </w:p>
    <w:p w:rsidR="00CC30BD" w:rsidRPr="003E52F5" w:rsidRDefault="00CC30BD" w:rsidP="00CC30BD">
      <w:pPr>
        <w:ind w:left="550" w:hanging="550"/>
        <w:jc w:val="both"/>
        <w:rPr>
          <w:rFonts w:ascii="Arial" w:hAnsi="Arial" w:cs="Arial"/>
          <w:sz w:val="16"/>
          <w:szCs w:val="16"/>
        </w:rPr>
      </w:pPr>
    </w:p>
    <w:p w:rsidR="007A1C04" w:rsidRPr="00CC30BD" w:rsidRDefault="00CC30BD" w:rsidP="00CC30BD">
      <w:pPr>
        <w:ind w:left="550" w:hanging="550"/>
        <w:jc w:val="both"/>
        <w:rPr>
          <w:rFonts w:ascii="Arial" w:hAnsi="Arial" w:cs="Arial"/>
          <w:sz w:val="16"/>
          <w:szCs w:val="16"/>
        </w:rPr>
      </w:pPr>
      <w:r w:rsidRPr="003E52F5">
        <w:rPr>
          <w:rFonts w:ascii="Arial" w:hAnsi="Arial" w:cs="Arial"/>
          <w:sz w:val="16"/>
          <w:szCs w:val="16"/>
        </w:rPr>
        <w:t>9.</w:t>
      </w:r>
      <w:r w:rsidRPr="003E52F5">
        <w:rPr>
          <w:rFonts w:ascii="Arial" w:hAnsi="Arial" w:cs="Arial"/>
          <w:sz w:val="16"/>
          <w:szCs w:val="16"/>
        </w:rPr>
        <w:tab/>
        <w:t>To direct your proxy how to vote on the resolutions mark the appropriate box with an '</w:t>
      </w:r>
      <w:r w:rsidRPr="003E52F5">
        <w:rPr>
          <w:rFonts w:ascii="Arial" w:hAnsi="Arial" w:cs="Arial"/>
          <w:b/>
          <w:sz w:val="16"/>
          <w:szCs w:val="16"/>
        </w:rPr>
        <w:t>X</w:t>
      </w:r>
      <w:r w:rsidRPr="003E52F5">
        <w:rPr>
          <w:rFonts w:ascii="Arial" w:hAnsi="Arial" w:cs="Arial"/>
          <w:sz w:val="16"/>
          <w:szCs w:val="16"/>
        </w:rPr>
        <w:t>'.  To abstain from voting on a resolution, select the relevant "Vote withheld" box. A vote withheld is not a vote in law, which means that the vote will not be counted in the calculation of votes for or against the resolution. If no voting indication is given, your proxy will vote or abstain from voting at his or her discretion.  Your proxy will vote (or abstain from voting) as he or she thinks fit in relation to any other matter that is put before the meeting.</w:t>
      </w:r>
      <w:bookmarkStart w:id="1" w:name="_GoBack"/>
      <w:bookmarkEnd w:id="1"/>
    </w:p>
    <w:sectPr w:rsidR="007A1C04" w:rsidRPr="00CC30BD" w:rsidSect="006A3F98">
      <w:footerReference w:type="even" r:id="rId5"/>
      <w:footerReference w:type="default" r:id="rId6"/>
      <w:pgSz w:w="11906" w:h="16838"/>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22" w:rsidRDefault="00CC30BD" w:rsidP="006A3F9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3622" w:rsidRDefault="00CC30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22" w:rsidRDefault="00CC30BD" w:rsidP="006A3F9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13622" w:rsidRPr="00F83182" w:rsidRDefault="00CC30BD" w:rsidP="00F00BC7">
    <w:pPr>
      <w:pStyle w:val="a3"/>
      <w:rPr>
        <w:sz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BD"/>
    <w:rsid w:val="00093543"/>
    <w:rsid w:val="00C17C17"/>
    <w:rsid w:val="00C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BD"/>
    <w:pPr>
      <w:spacing w:after="0" w:line="240" w:lineRule="auto"/>
    </w:pPr>
    <w:rPr>
      <w:rFonts w:ascii="Garamond" w:eastAsia="Times New Roman" w:hAnsi="Garamond" w:cs="Times New Roman"/>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rsid w:val="00CC30BD"/>
    <w:pPr>
      <w:tabs>
        <w:tab w:val="center" w:pos="4153"/>
        <w:tab w:val="right" w:pos="8306"/>
      </w:tabs>
    </w:pPr>
    <w:rPr>
      <w:rFonts w:ascii="Arial Narrow" w:hAnsi="Arial Narrow"/>
      <w:sz w:val="16"/>
      <w:szCs w:val="16"/>
    </w:rPr>
  </w:style>
  <w:style w:type="character" w:customStyle="1" w:styleId="a4">
    <w:name w:val="Нижний колонтитул Знак"/>
    <w:basedOn w:val="a0"/>
    <w:link w:val="a3"/>
    <w:rsid w:val="00CC30BD"/>
    <w:rPr>
      <w:rFonts w:ascii="Arial Narrow" w:eastAsia="Times New Roman" w:hAnsi="Arial Narrow" w:cs="Times New Roman"/>
      <w:sz w:val="16"/>
      <w:szCs w:val="16"/>
      <w:lang w:val="en-GB" w:eastAsia="en-GB"/>
    </w:rPr>
  </w:style>
  <w:style w:type="table" w:styleId="a5">
    <w:name w:val="Table Grid"/>
    <w:basedOn w:val="a1"/>
    <w:rsid w:val="00CC30B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CC3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BD"/>
    <w:pPr>
      <w:spacing w:after="0" w:line="240" w:lineRule="auto"/>
    </w:pPr>
    <w:rPr>
      <w:rFonts w:ascii="Garamond" w:eastAsia="Times New Roman" w:hAnsi="Garamond" w:cs="Times New Roman"/>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rsid w:val="00CC30BD"/>
    <w:pPr>
      <w:tabs>
        <w:tab w:val="center" w:pos="4153"/>
        <w:tab w:val="right" w:pos="8306"/>
      </w:tabs>
    </w:pPr>
    <w:rPr>
      <w:rFonts w:ascii="Arial Narrow" w:hAnsi="Arial Narrow"/>
      <w:sz w:val="16"/>
      <w:szCs w:val="16"/>
    </w:rPr>
  </w:style>
  <w:style w:type="character" w:customStyle="1" w:styleId="a4">
    <w:name w:val="Нижний колонтитул Знак"/>
    <w:basedOn w:val="a0"/>
    <w:link w:val="a3"/>
    <w:rsid w:val="00CC30BD"/>
    <w:rPr>
      <w:rFonts w:ascii="Arial Narrow" w:eastAsia="Times New Roman" w:hAnsi="Arial Narrow" w:cs="Times New Roman"/>
      <w:sz w:val="16"/>
      <w:szCs w:val="16"/>
      <w:lang w:val="en-GB" w:eastAsia="en-GB"/>
    </w:rPr>
  </w:style>
  <w:style w:type="table" w:styleId="a5">
    <w:name w:val="Table Grid"/>
    <w:basedOn w:val="a1"/>
    <w:rsid w:val="00CC30B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CC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ux</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Какуша</dc:creator>
  <cp:keywords/>
  <dc:description/>
  <cp:lastModifiedBy>Константин Какуша</cp:lastModifiedBy>
  <cp:revision>1</cp:revision>
  <dcterms:created xsi:type="dcterms:W3CDTF">2015-07-01T13:14:00Z</dcterms:created>
  <dcterms:modified xsi:type="dcterms:W3CDTF">2015-07-01T13:15:00Z</dcterms:modified>
</cp:coreProperties>
</file>