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36" w:rsidRPr="00356595" w:rsidRDefault="00A44A36" w:rsidP="00A44A36">
      <w:pPr>
        <w:pStyle w:val="c3"/>
        <w:jc w:val="both"/>
        <w:rPr>
          <w:b/>
          <w:bCs/>
          <w:sz w:val="22"/>
          <w:szCs w:val="22"/>
          <w:lang w:val="uk-UA"/>
        </w:rPr>
      </w:pPr>
      <w:r w:rsidRPr="00356595"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923290" cy="127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A36" w:rsidRPr="00356595" w:rsidRDefault="00356595" w:rsidP="00A44A36">
      <w:pPr>
        <w:pStyle w:val="c3"/>
        <w:tabs>
          <w:tab w:val="center" w:pos="4995"/>
        </w:tabs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ПРЕС-РЕЛІ</w:t>
      </w:r>
      <w:r w:rsidR="000F11ED" w:rsidRPr="00356595">
        <w:rPr>
          <w:b/>
          <w:bCs/>
          <w:sz w:val="22"/>
          <w:szCs w:val="22"/>
          <w:lang w:val="uk-UA"/>
        </w:rPr>
        <w:t>З</w:t>
      </w:r>
    </w:p>
    <w:p w:rsidR="000F11ED" w:rsidRPr="00356595" w:rsidRDefault="00BA7F28" w:rsidP="000F11ED">
      <w:pPr>
        <w:pStyle w:val="c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19</w:t>
      </w:r>
      <w:r w:rsidR="00356595">
        <w:rPr>
          <w:sz w:val="22"/>
          <w:szCs w:val="22"/>
          <w:lang w:val="uk-UA"/>
        </w:rPr>
        <w:t xml:space="preserve"> квітня</w:t>
      </w:r>
      <w:r>
        <w:rPr>
          <w:sz w:val="22"/>
          <w:szCs w:val="22"/>
          <w:lang w:val="uk-UA"/>
        </w:rPr>
        <w:t xml:space="preserve"> 2016</w:t>
      </w:r>
      <w:r w:rsidR="000F11ED" w:rsidRPr="00356595">
        <w:rPr>
          <w:sz w:val="22"/>
          <w:szCs w:val="22"/>
          <w:lang w:val="uk-UA"/>
        </w:rPr>
        <w:t xml:space="preserve"> </w:t>
      </w:r>
      <w:r w:rsidR="00356595" w:rsidRPr="00356595">
        <w:rPr>
          <w:sz w:val="22"/>
          <w:szCs w:val="22"/>
          <w:lang w:val="uk-UA"/>
        </w:rPr>
        <w:t>р.</w:t>
      </w:r>
      <w:r w:rsidR="00356595">
        <w:rPr>
          <w:sz w:val="22"/>
          <w:szCs w:val="22"/>
          <w:lang w:val="uk-UA"/>
        </w:rPr>
        <w:t>, Київ, Украї</w:t>
      </w:r>
      <w:r w:rsidR="000F11ED" w:rsidRPr="00356595">
        <w:rPr>
          <w:sz w:val="22"/>
          <w:szCs w:val="22"/>
          <w:lang w:val="uk-UA"/>
        </w:rPr>
        <w:t>на</w:t>
      </w:r>
    </w:p>
    <w:p w:rsidR="00A44A36" w:rsidRPr="00356595" w:rsidRDefault="00A44A36" w:rsidP="00A44A36">
      <w:pPr>
        <w:pStyle w:val="c3"/>
        <w:jc w:val="both"/>
        <w:rPr>
          <w:sz w:val="22"/>
          <w:szCs w:val="22"/>
          <w:lang w:val="uk-UA"/>
        </w:rPr>
      </w:pPr>
    </w:p>
    <w:p w:rsidR="00F454C7" w:rsidRPr="00F454C7" w:rsidRDefault="00A44A36" w:rsidP="006D4516">
      <w:pPr>
        <w:pStyle w:val="c3"/>
        <w:spacing w:before="0" w:beforeAutospacing="0" w:after="0" w:afterAutospacing="0"/>
        <w:jc w:val="center"/>
        <w:rPr>
          <w:b/>
          <w:sz w:val="22"/>
          <w:szCs w:val="22"/>
          <w:lang w:val="ru-RU"/>
        </w:rPr>
      </w:pPr>
      <w:r w:rsidRPr="00356595">
        <w:rPr>
          <w:b/>
          <w:bCs/>
          <w:sz w:val="22"/>
          <w:szCs w:val="22"/>
          <w:lang w:val="uk-UA"/>
        </w:rPr>
        <w:t>MHP S.A.</w:t>
      </w:r>
      <w:r w:rsidRPr="00356595">
        <w:rPr>
          <w:b/>
          <w:bCs/>
          <w:sz w:val="22"/>
          <w:szCs w:val="22"/>
          <w:lang w:val="uk-UA"/>
        </w:rPr>
        <w:br/>
      </w:r>
      <w:r w:rsidR="006D4516" w:rsidRPr="00997865">
        <w:rPr>
          <w:b/>
          <w:sz w:val="22"/>
          <w:szCs w:val="22"/>
          <w:lang w:val="uk-UA"/>
        </w:rPr>
        <w:t>Операційні результати діяль</w:t>
      </w:r>
      <w:r w:rsidR="00BA7F28">
        <w:rPr>
          <w:b/>
          <w:sz w:val="22"/>
          <w:szCs w:val="22"/>
          <w:lang w:val="uk-UA"/>
        </w:rPr>
        <w:t xml:space="preserve">ності МХП за перший квартал 2016 </w:t>
      </w:r>
      <w:r w:rsidR="006D4516" w:rsidRPr="00997865">
        <w:rPr>
          <w:b/>
          <w:sz w:val="22"/>
          <w:szCs w:val="22"/>
          <w:lang w:val="uk-UA"/>
        </w:rPr>
        <w:t>рок</w:t>
      </w:r>
      <w:r w:rsidR="00BA7F28">
        <w:rPr>
          <w:b/>
          <w:sz w:val="22"/>
          <w:szCs w:val="22"/>
          <w:lang w:val="uk-UA"/>
        </w:rPr>
        <w:t xml:space="preserve">у, </w:t>
      </w:r>
    </w:p>
    <w:p w:rsidR="00A44A36" w:rsidRPr="00F454C7" w:rsidRDefault="00BA7F28" w:rsidP="006D4516">
      <w:pPr>
        <w:pStyle w:val="c3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що закінчився 31 березня 2016</w:t>
      </w:r>
      <w:r w:rsidR="00F454C7">
        <w:rPr>
          <w:b/>
          <w:sz w:val="22"/>
          <w:szCs w:val="22"/>
          <w:lang w:val="uk-UA"/>
        </w:rPr>
        <w:t xml:space="preserve"> року</w:t>
      </w:r>
    </w:p>
    <w:p w:rsidR="006D4516" w:rsidRPr="006D4516" w:rsidRDefault="006D4516" w:rsidP="006D4516">
      <w:pPr>
        <w:pStyle w:val="c3"/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</w:p>
    <w:p w:rsidR="006D4516" w:rsidRPr="00997865" w:rsidRDefault="006D4516" w:rsidP="006D45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uk-UA"/>
        </w:rPr>
      </w:pPr>
      <w:r w:rsidRPr="00997865">
        <w:rPr>
          <w:rFonts w:ascii="Arial" w:hAnsi="Arial" w:cs="Arial"/>
          <w:lang w:val="uk-UA"/>
        </w:rPr>
        <w:t xml:space="preserve">MHP S.A. (LSE: MHPC) (“МХП” або “Компанія”), </w:t>
      </w:r>
      <w:r w:rsidRPr="00997865">
        <w:rPr>
          <w:rFonts w:ascii="Arial" w:eastAsiaTheme="minorHAnsi" w:hAnsi="Arial" w:cs="Arial"/>
          <w:lang w:val="uk-UA"/>
        </w:rPr>
        <w:t>одна з провідних агропромислових</w:t>
      </w:r>
      <w:r w:rsidRPr="00BA7F28">
        <w:rPr>
          <w:rFonts w:ascii="Arial" w:eastAsiaTheme="minorHAnsi" w:hAnsi="Arial" w:cs="Arial"/>
          <w:lang w:val="uk-UA"/>
        </w:rPr>
        <w:t xml:space="preserve"> </w:t>
      </w:r>
      <w:r w:rsidRPr="00997865">
        <w:rPr>
          <w:rFonts w:ascii="Arial" w:eastAsiaTheme="minorHAnsi" w:hAnsi="Arial" w:cs="Arial"/>
          <w:lang w:val="uk-UA"/>
        </w:rPr>
        <w:t>компаній України, що спеціалізується на виробництві м'яса птиці та вирощуванні зернових та олійних культур, оголошує попередні результати</w:t>
      </w:r>
      <w:r w:rsidRPr="00BA7F28">
        <w:rPr>
          <w:rFonts w:ascii="Arial" w:eastAsiaTheme="minorHAnsi" w:hAnsi="Arial" w:cs="Arial"/>
          <w:lang w:val="uk-UA"/>
        </w:rPr>
        <w:t xml:space="preserve"> </w:t>
      </w:r>
      <w:r w:rsidRPr="00997865">
        <w:rPr>
          <w:rFonts w:ascii="Arial" w:eastAsiaTheme="minorHAnsi" w:hAnsi="Arial" w:cs="Arial"/>
          <w:lang w:val="uk-UA"/>
        </w:rPr>
        <w:t xml:space="preserve">за три місяці, </w:t>
      </w:r>
      <w:r w:rsidR="00BA7F28">
        <w:rPr>
          <w:rFonts w:ascii="Arial" w:eastAsiaTheme="minorHAnsi" w:hAnsi="Arial" w:cs="Arial"/>
          <w:lang w:val="uk-UA"/>
        </w:rPr>
        <w:t>що закінчилися 31 березня 2016</w:t>
      </w:r>
      <w:r w:rsidRPr="006D4516">
        <w:rPr>
          <w:rFonts w:ascii="Arial" w:eastAsiaTheme="minorHAnsi" w:hAnsi="Arial" w:cs="Arial"/>
          <w:lang w:val="uk-UA"/>
        </w:rPr>
        <w:t xml:space="preserve"> р.</w:t>
      </w:r>
    </w:p>
    <w:p w:rsidR="000F11ED" w:rsidRPr="00356595" w:rsidRDefault="000F11ED" w:rsidP="00A44A36">
      <w:pPr>
        <w:autoSpaceDE w:val="0"/>
        <w:autoSpaceDN w:val="0"/>
        <w:adjustRightInd w:val="0"/>
        <w:jc w:val="both"/>
        <w:rPr>
          <w:rFonts w:ascii="Arial" w:hAnsi="Arial" w:cs="Arial"/>
          <w:lang w:val="uk-UA"/>
        </w:rPr>
      </w:pPr>
    </w:p>
    <w:p w:rsidR="00A44A36" w:rsidRPr="00356595" w:rsidRDefault="006D4516" w:rsidP="00A44A36">
      <w:pPr>
        <w:pStyle w:val="c3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Виробництво курятини</w:t>
      </w:r>
    </w:p>
    <w:p w:rsidR="006D4516" w:rsidRDefault="006D4516" w:rsidP="00A44A36">
      <w:pPr>
        <w:pStyle w:val="c3"/>
        <w:jc w:val="both"/>
        <w:rPr>
          <w:sz w:val="22"/>
          <w:szCs w:val="22"/>
          <w:lang w:val="uk-UA"/>
        </w:rPr>
      </w:pPr>
      <w:r w:rsidRPr="00997865">
        <w:rPr>
          <w:sz w:val="22"/>
          <w:szCs w:val="22"/>
          <w:lang w:val="uk-UA"/>
        </w:rPr>
        <w:t>Як завжди, усі підприємства МХП з виробництва курятини протягом звітного періоду продовжували працювати на повну потужність.</w:t>
      </w:r>
    </w:p>
    <w:p w:rsidR="00BA7F28" w:rsidRDefault="00BA7F28" w:rsidP="00A44A36">
      <w:pPr>
        <w:pStyle w:val="c3"/>
        <w:jc w:val="both"/>
        <w:rPr>
          <w:sz w:val="22"/>
          <w:szCs w:val="22"/>
          <w:lang w:val="uk-UA"/>
        </w:rPr>
      </w:pPr>
      <w:r w:rsidRPr="006D4516">
        <w:rPr>
          <w:sz w:val="22"/>
          <w:szCs w:val="22"/>
          <w:lang w:val="uk-UA"/>
        </w:rPr>
        <w:t xml:space="preserve">Сумарний </w:t>
      </w:r>
      <w:r>
        <w:rPr>
          <w:sz w:val="22"/>
          <w:szCs w:val="22"/>
          <w:lang w:val="uk-UA"/>
        </w:rPr>
        <w:t>обсяг виробництва курятини МХП у 1 кв. 2016</w:t>
      </w:r>
      <w:r w:rsidRPr="006D4516">
        <w:rPr>
          <w:sz w:val="22"/>
          <w:szCs w:val="22"/>
          <w:lang w:val="uk-UA"/>
        </w:rPr>
        <w:t xml:space="preserve"> р. </w:t>
      </w:r>
      <w:r>
        <w:rPr>
          <w:sz w:val="22"/>
          <w:szCs w:val="22"/>
          <w:lang w:val="uk-UA"/>
        </w:rPr>
        <w:t xml:space="preserve">збільшився на 11% і </w:t>
      </w:r>
      <w:r w:rsidRPr="006D4516">
        <w:rPr>
          <w:sz w:val="22"/>
          <w:szCs w:val="22"/>
          <w:lang w:val="uk-UA"/>
        </w:rPr>
        <w:t>с</w:t>
      </w:r>
      <w:r>
        <w:rPr>
          <w:sz w:val="22"/>
          <w:szCs w:val="22"/>
          <w:lang w:val="uk-UA"/>
        </w:rPr>
        <w:t>клав 155 610 тонн (1 кв. 2015 р</w:t>
      </w:r>
      <w:r w:rsidRPr="006D4516">
        <w:rPr>
          <w:sz w:val="22"/>
          <w:szCs w:val="22"/>
          <w:lang w:val="uk-UA"/>
        </w:rPr>
        <w:t xml:space="preserve">.: </w:t>
      </w:r>
      <w:r w:rsidRPr="00BA7F28">
        <w:rPr>
          <w:sz w:val="22"/>
          <w:szCs w:val="22"/>
          <w:lang w:val="uk-UA"/>
        </w:rPr>
        <w:t>140</w:t>
      </w:r>
      <w:r>
        <w:rPr>
          <w:sz w:val="22"/>
          <w:szCs w:val="22"/>
          <w:lang w:val="ru-RU"/>
        </w:rPr>
        <w:t> </w:t>
      </w:r>
      <w:r w:rsidRPr="00BA7F28">
        <w:rPr>
          <w:sz w:val="22"/>
          <w:szCs w:val="22"/>
          <w:lang w:val="uk-UA"/>
        </w:rPr>
        <w:t xml:space="preserve">370 </w:t>
      </w:r>
      <w:r>
        <w:rPr>
          <w:sz w:val="22"/>
          <w:szCs w:val="22"/>
          <w:lang w:val="uk-UA"/>
        </w:rPr>
        <w:t>тонн</w:t>
      </w:r>
      <w:r w:rsidR="007B1971">
        <w:rPr>
          <w:sz w:val="22"/>
          <w:szCs w:val="22"/>
          <w:lang w:val="uk-UA"/>
        </w:rPr>
        <w:t xml:space="preserve">) здебільшого через запуск </w:t>
      </w:r>
      <w:r>
        <w:rPr>
          <w:sz w:val="22"/>
          <w:szCs w:val="22"/>
          <w:lang w:val="uk-UA"/>
        </w:rPr>
        <w:t xml:space="preserve">кількох нових </w:t>
      </w:r>
      <w:r w:rsidR="007B1971">
        <w:rPr>
          <w:sz w:val="22"/>
          <w:szCs w:val="22"/>
          <w:lang w:val="uk-UA"/>
        </w:rPr>
        <w:t>дільниць</w:t>
      </w:r>
      <w:r>
        <w:rPr>
          <w:sz w:val="22"/>
          <w:szCs w:val="22"/>
          <w:lang w:val="uk-UA"/>
        </w:rPr>
        <w:t xml:space="preserve"> з вирощування </w:t>
      </w:r>
      <w:r w:rsidR="007B1971">
        <w:rPr>
          <w:sz w:val="22"/>
          <w:szCs w:val="22"/>
          <w:lang w:val="uk-UA"/>
        </w:rPr>
        <w:t xml:space="preserve">птиці </w:t>
      </w:r>
      <w:r>
        <w:rPr>
          <w:sz w:val="22"/>
          <w:szCs w:val="22"/>
          <w:lang w:val="uk-UA"/>
        </w:rPr>
        <w:t>на Миронівській птахоф</w:t>
      </w:r>
      <w:r w:rsidR="007B1971">
        <w:rPr>
          <w:sz w:val="22"/>
          <w:szCs w:val="22"/>
          <w:lang w:val="uk-UA"/>
        </w:rPr>
        <w:t>а</w:t>
      </w:r>
      <w:r>
        <w:rPr>
          <w:sz w:val="22"/>
          <w:szCs w:val="22"/>
          <w:lang w:val="uk-UA"/>
        </w:rPr>
        <w:t xml:space="preserve">бриці та птахофабриці «Орель-Лідер», які працювали в тестовому режимі. </w:t>
      </w:r>
    </w:p>
    <w:tbl>
      <w:tblPr>
        <w:tblW w:w="6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6"/>
        <w:gridCol w:w="877"/>
        <w:gridCol w:w="1134"/>
        <w:gridCol w:w="670"/>
        <w:gridCol w:w="236"/>
      </w:tblGrid>
      <w:tr w:rsidR="00A44A36" w:rsidRPr="00356595" w:rsidTr="00BA7F28">
        <w:trPr>
          <w:trHeight w:val="510"/>
        </w:trPr>
        <w:tc>
          <w:tcPr>
            <w:tcW w:w="3360" w:type="dxa"/>
            <w:tcBorders>
              <w:bottom w:val="single" w:sz="12" w:space="0" w:color="auto"/>
            </w:tcBorders>
            <w:noWrap/>
            <w:vAlign w:val="bottom"/>
          </w:tcPr>
          <w:p w:rsidR="00A44A36" w:rsidRPr="00356595" w:rsidRDefault="000F11ED" w:rsidP="00BA7F28">
            <w:pPr>
              <w:rPr>
                <w:rFonts w:ascii="Arial" w:hAnsi="Arial" w:cs="Arial"/>
                <w:lang w:val="uk-UA"/>
              </w:rPr>
            </w:pPr>
            <w:r w:rsidRPr="00356595">
              <w:rPr>
                <w:rFonts w:ascii="Arial" w:hAnsi="Arial" w:cs="Arial"/>
                <w:b/>
                <w:bCs/>
                <w:lang w:val="uk-UA"/>
              </w:rPr>
              <w:t>Курятина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vAlign w:val="bottom"/>
          </w:tcPr>
          <w:p w:rsidR="00A44A36" w:rsidRPr="00356595" w:rsidRDefault="00A44A36" w:rsidP="00BA7F28">
            <w:pPr>
              <w:jc w:val="right"/>
              <w:rPr>
                <w:rFonts w:ascii="Arial" w:hAnsi="Arial" w:cs="Arial"/>
                <w:b/>
                <w:bCs/>
                <w:lang w:val="uk-UA"/>
              </w:rPr>
            </w:pPr>
            <w:r w:rsidRPr="00356595">
              <w:rPr>
                <w:rFonts w:ascii="Arial" w:hAnsi="Arial" w:cs="Arial"/>
                <w:b/>
                <w:bCs/>
                <w:lang w:val="uk-UA"/>
              </w:rPr>
              <w:t>1</w:t>
            </w:r>
            <w:r w:rsidR="000F11ED" w:rsidRPr="00356595">
              <w:rPr>
                <w:rFonts w:ascii="Arial" w:hAnsi="Arial" w:cs="Arial"/>
                <w:b/>
                <w:bCs/>
                <w:lang w:val="uk-UA"/>
              </w:rPr>
              <w:t xml:space="preserve"> кв.</w:t>
            </w:r>
            <w:r w:rsidRPr="00356595">
              <w:rPr>
                <w:rFonts w:ascii="Arial" w:hAnsi="Arial" w:cs="Arial"/>
                <w:b/>
                <w:bCs/>
                <w:lang w:val="uk-UA"/>
              </w:rPr>
              <w:t xml:space="preserve">   201</w:t>
            </w:r>
            <w:r w:rsidR="00BA7F28">
              <w:rPr>
                <w:rFonts w:ascii="Arial" w:hAnsi="Arial" w:cs="Arial"/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A36" w:rsidRPr="00356595" w:rsidRDefault="00A44A36" w:rsidP="00BA7F28">
            <w:pPr>
              <w:jc w:val="right"/>
              <w:rPr>
                <w:rFonts w:ascii="Arial" w:hAnsi="Arial" w:cs="Arial"/>
                <w:b/>
                <w:bCs/>
                <w:lang w:val="uk-UA"/>
              </w:rPr>
            </w:pPr>
            <w:r w:rsidRPr="00356595">
              <w:rPr>
                <w:rFonts w:ascii="Arial" w:hAnsi="Arial" w:cs="Arial"/>
                <w:b/>
                <w:bCs/>
                <w:lang w:val="uk-UA"/>
              </w:rPr>
              <w:t>1</w:t>
            </w:r>
            <w:r w:rsidR="000F11ED" w:rsidRPr="00356595">
              <w:rPr>
                <w:rFonts w:ascii="Arial" w:hAnsi="Arial" w:cs="Arial"/>
                <w:b/>
                <w:bCs/>
                <w:lang w:val="uk-UA"/>
              </w:rPr>
              <w:t xml:space="preserve"> кв.</w:t>
            </w:r>
            <w:r w:rsidRPr="00356595">
              <w:rPr>
                <w:rFonts w:ascii="Arial" w:hAnsi="Arial" w:cs="Arial"/>
                <w:b/>
                <w:bCs/>
                <w:lang w:val="uk-UA"/>
              </w:rPr>
              <w:t xml:space="preserve">   201</w:t>
            </w:r>
            <w:r w:rsidR="00BA7F28">
              <w:rPr>
                <w:rFonts w:ascii="Arial" w:hAnsi="Arial" w:cs="Arial"/>
                <w:b/>
                <w:bCs/>
                <w:lang w:val="uk-UA"/>
              </w:rPr>
              <w:t>5</w:t>
            </w:r>
          </w:p>
        </w:tc>
        <w:tc>
          <w:tcPr>
            <w:tcW w:w="67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A36" w:rsidRPr="00356595" w:rsidRDefault="00A44A36" w:rsidP="000F11ED">
            <w:pPr>
              <w:jc w:val="right"/>
              <w:rPr>
                <w:rFonts w:ascii="Arial" w:hAnsi="Arial" w:cs="Arial"/>
                <w:i/>
                <w:iCs/>
                <w:lang w:val="uk-UA"/>
              </w:rPr>
            </w:pPr>
            <w:r w:rsidRPr="00356595">
              <w:rPr>
                <w:rFonts w:ascii="Arial" w:hAnsi="Arial" w:cs="Arial"/>
                <w:i/>
                <w:iCs/>
                <w:lang w:val="uk-UA"/>
              </w:rPr>
              <w:t xml:space="preserve">% 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A36" w:rsidRPr="00356595" w:rsidRDefault="00A44A36" w:rsidP="00BA7F28">
            <w:pPr>
              <w:rPr>
                <w:rFonts w:ascii="Arial" w:hAnsi="Arial" w:cs="Arial"/>
                <w:lang w:val="uk-UA"/>
              </w:rPr>
            </w:pPr>
          </w:p>
        </w:tc>
      </w:tr>
      <w:tr w:rsidR="00BA7F28" w:rsidRPr="00356595" w:rsidTr="00BA7F28">
        <w:trPr>
          <w:trHeight w:val="255"/>
        </w:trPr>
        <w:tc>
          <w:tcPr>
            <w:tcW w:w="3360" w:type="dxa"/>
            <w:noWrap/>
            <w:vAlign w:val="bottom"/>
          </w:tcPr>
          <w:p w:rsidR="00BA7F28" w:rsidRPr="00997865" w:rsidRDefault="00BA7F28" w:rsidP="00BA7F28">
            <w:pPr>
              <w:rPr>
                <w:rFonts w:ascii="Arial" w:hAnsi="Arial" w:cs="Arial"/>
                <w:lang w:val="uk-UA"/>
              </w:rPr>
            </w:pPr>
            <w:r w:rsidRPr="00997865">
              <w:rPr>
                <w:rFonts w:ascii="Arial" w:hAnsi="Arial" w:cs="Arial"/>
                <w:lang w:val="uk-UA"/>
              </w:rPr>
              <w:t>Обсяг продажів курятини третім особам, тонн</w:t>
            </w:r>
          </w:p>
        </w:tc>
        <w:tc>
          <w:tcPr>
            <w:tcW w:w="893" w:type="dxa"/>
            <w:vAlign w:val="bottom"/>
          </w:tcPr>
          <w:p w:rsidR="00BA7F28" w:rsidRPr="00D13147" w:rsidRDefault="000F0D1B" w:rsidP="00BA7F2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uk-UA"/>
              </w:rPr>
              <w:t>117 716</w:t>
            </w:r>
            <w:r w:rsidR="00BA7F28" w:rsidRPr="00D13147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7F28" w:rsidRPr="00D13147" w:rsidRDefault="00BA7F28" w:rsidP="00BA7F2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64</w:t>
            </w:r>
            <w:r w:rsidRPr="00D1314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7F28" w:rsidRPr="00D13147" w:rsidRDefault="000F0D1B" w:rsidP="00BA7F28">
            <w:pPr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uk-UA"/>
              </w:rPr>
              <w:t>4</w:t>
            </w:r>
            <w:r w:rsidR="00BA7F28" w:rsidRPr="00D13147">
              <w:rPr>
                <w:rFonts w:ascii="Arial" w:hAnsi="Arial" w:cs="Arial"/>
                <w:i/>
                <w:iCs/>
                <w:lang w:val="en-US"/>
              </w:rPr>
              <w:t>%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7F28" w:rsidRPr="00356595" w:rsidRDefault="00BA7F28" w:rsidP="00BA7F28">
            <w:pPr>
              <w:rPr>
                <w:rFonts w:ascii="Arial" w:hAnsi="Arial" w:cs="Arial"/>
                <w:lang w:val="uk-UA"/>
              </w:rPr>
            </w:pPr>
          </w:p>
        </w:tc>
      </w:tr>
      <w:tr w:rsidR="00BA7F28" w:rsidRPr="00356595" w:rsidTr="00BA7F28">
        <w:trPr>
          <w:trHeight w:val="255"/>
        </w:trPr>
        <w:tc>
          <w:tcPr>
            <w:tcW w:w="3360" w:type="dxa"/>
            <w:noWrap/>
            <w:vAlign w:val="bottom"/>
          </w:tcPr>
          <w:p w:rsidR="00BA7F28" w:rsidRPr="00997865" w:rsidRDefault="00BA7F28" w:rsidP="00BA7F28">
            <w:pPr>
              <w:rPr>
                <w:rFonts w:ascii="Arial" w:hAnsi="Arial" w:cs="Arial"/>
                <w:lang w:val="uk-UA"/>
              </w:rPr>
            </w:pPr>
            <w:r w:rsidRPr="00997865">
              <w:rPr>
                <w:rFonts w:ascii="Arial" w:hAnsi="Arial" w:cs="Arial"/>
                <w:lang w:val="uk-UA"/>
              </w:rPr>
              <w:t>Ціна за 1 кг, без ПДВ, грн.</w:t>
            </w:r>
          </w:p>
        </w:tc>
        <w:tc>
          <w:tcPr>
            <w:tcW w:w="893" w:type="dxa"/>
            <w:vAlign w:val="bottom"/>
          </w:tcPr>
          <w:p w:rsidR="00BA7F28" w:rsidRPr="009B65A6" w:rsidRDefault="000F0D1B" w:rsidP="00BA7F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</w:t>
            </w:r>
            <w:r>
              <w:rPr>
                <w:rFonts w:ascii="Arial" w:hAnsi="Arial" w:cs="Arial"/>
                <w:lang w:val="uk-UA"/>
              </w:rPr>
              <w:t>6</w:t>
            </w:r>
            <w:r w:rsidR="00BA7F2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7F28" w:rsidRPr="00D13147" w:rsidRDefault="00BA7F28" w:rsidP="00BA7F2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6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7F28" w:rsidRPr="00D13147" w:rsidRDefault="00BA7F28" w:rsidP="00BA7F28">
            <w:pPr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</w:rPr>
              <w:t>17</w:t>
            </w:r>
            <w:r w:rsidRPr="00D13147">
              <w:rPr>
                <w:rFonts w:ascii="Arial" w:hAnsi="Arial" w:cs="Arial"/>
                <w:i/>
                <w:iCs/>
                <w:lang w:val="en-US"/>
              </w:rPr>
              <w:t>%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7F28" w:rsidRPr="00356595" w:rsidRDefault="00BA7F28" w:rsidP="00BA7F28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BA7F28" w:rsidRPr="00BA7F28" w:rsidRDefault="006D4516" w:rsidP="00A44A36">
      <w:pPr>
        <w:pStyle w:val="c3"/>
        <w:jc w:val="both"/>
        <w:rPr>
          <w:sz w:val="22"/>
          <w:szCs w:val="22"/>
          <w:lang w:val="uk-UA"/>
        </w:rPr>
      </w:pPr>
      <w:r w:rsidRPr="006D4516">
        <w:rPr>
          <w:sz w:val="22"/>
          <w:szCs w:val="22"/>
          <w:lang w:val="uk-UA"/>
        </w:rPr>
        <w:t>Обсяг продажів кур</w:t>
      </w:r>
      <w:r w:rsidR="00BA7F28">
        <w:rPr>
          <w:sz w:val="22"/>
          <w:szCs w:val="22"/>
          <w:lang w:val="uk-UA"/>
        </w:rPr>
        <w:t xml:space="preserve">ятини третім особам </w:t>
      </w:r>
      <w:r w:rsidR="007B1971">
        <w:rPr>
          <w:sz w:val="22"/>
          <w:szCs w:val="22"/>
          <w:lang w:val="uk-UA"/>
        </w:rPr>
        <w:t>у</w:t>
      </w:r>
      <w:r w:rsidR="00BA7F28">
        <w:rPr>
          <w:sz w:val="22"/>
          <w:szCs w:val="22"/>
          <w:lang w:val="uk-UA"/>
        </w:rPr>
        <w:t xml:space="preserve"> 1 кв. 2016</w:t>
      </w:r>
      <w:r w:rsidRPr="006D4516">
        <w:rPr>
          <w:sz w:val="22"/>
          <w:szCs w:val="22"/>
          <w:lang w:val="uk-UA"/>
        </w:rPr>
        <w:t xml:space="preserve"> р. </w:t>
      </w:r>
      <w:r w:rsidR="000F0D1B">
        <w:rPr>
          <w:sz w:val="22"/>
          <w:szCs w:val="22"/>
          <w:lang w:val="uk-UA"/>
        </w:rPr>
        <w:t>збільшився на 4</w:t>
      </w:r>
      <w:r w:rsidR="00BA7F28">
        <w:rPr>
          <w:sz w:val="22"/>
          <w:szCs w:val="22"/>
          <w:lang w:val="uk-UA"/>
        </w:rPr>
        <w:t xml:space="preserve">% та склав </w:t>
      </w:r>
      <w:r w:rsidR="000F0D1B">
        <w:rPr>
          <w:sz w:val="22"/>
          <w:szCs w:val="22"/>
          <w:lang w:val="uk-UA"/>
        </w:rPr>
        <w:t>117 716</w:t>
      </w:r>
      <w:r w:rsidR="00BA7F28">
        <w:rPr>
          <w:sz w:val="22"/>
          <w:szCs w:val="22"/>
          <w:lang w:val="uk-UA"/>
        </w:rPr>
        <w:t> тонн, порівняно з</w:t>
      </w:r>
      <w:r w:rsidR="007B1971">
        <w:rPr>
          <w:sz w:val="22"/>
          <w:szCs w:val="22"/>
          <w:lang w:val="uk-UA"/>
        </w:rPr>
        <w:t>і</w:t>
      </w:r>
      <w:r w:rsidR="00BA7F28">
        <w:rPr>
          <w:sz w:val="22"/>
          <w:szCs w:val="22"/>
          <w:lang w:val="uk-UA"/>
        </w:rPr>
        <w:t xml:space="preserve"> 113 340 тонн </w:t>
      </w:r>
      <w:r w:rsidR="007B1971">
        <w:rPr>
          <w:sz w:val="22"/>
          <w:szCs w:val="22"/>
          <w:lang w:val="uk-UA"/>
        </w:rPr>
        <w:t>у</w:t>
      </w:r>
      <w:r w:rsidR="00BA7F28">
        <w:rPr>
          <w:sz w:val="22"/>
          <w:szCs w:val="22"/>
          <w:lang w:val="uk-UA"/>
        </w:rPr>
        <w:t xml:space="preserve"> 1 кв. 2015 р.</w:t>
      </w:r>
      <w:r w:rsidRPr="006D4516">
        <w:rPr>
          <w:sz w:val="22"/>
          <w:szCs w:val="22"/>
          <w:lang w:val="uk-UA"/>
        </w:rPr>
        <w:t xml:space="preserve"> Продажі на внутрішньому ринку </w:t>
      </w:r>
      <w:r w:rsidR="00BA7F28" w:rsidRPr="006D4516">
        <w:rPr>
          <w:sz w:val="22"/>
          <w:szCs w:val="22"/>
          <w:lang w:val="uk-UA"/>
        </w:rPr>
        <w:t>залиши</w:t>
      </w:r>
      <w:r w:rsidR="00BA7F28">
        <w:rPr>
          <w:sz w:val="22"/>
          <w:szCs w:val="22"/>
          <w:lang w:val="uk-UA"/>
        </w:rPr>
        <w:t xml:space="preserve">лися </w:t>
      </w:r>
      <w:r w:rsidR="00BA7F28" w:rsidRPr="006D4516">
        <w:rPr>
          <w:sz w:val="22"/>
          <w:szCs w:val="22"/>
          <w:lang w:val="uk-UA"/>
        </w:rPr>
        <w:t>на колишньому рівні</w:t>
      </w:r>
      <w:r w:rsidR="00BA7F28">
        <w:rPr>
          <w:sz w:val="22"/>
          <w:szCs w:val="22"/>
          <w:lang w:val="uk-UA"/>
        </w:rPr>
        <w:t>.</w:t>
      </w:r>
    </w:p>
    <w:p w:rsidR="00BA7F28" w:rsidRDefault="006D4516" w:rsidP="00A44A36">
      <w:pPr>
        <w:pStyle w:val="c3"/>
        <w:jc w:val="both"/>
        <w:rPr>
          <w:sz w:val="22"/>
          <w:szCs w:val="22"/>
          <w:lang w:val="uk-UA"/>
        </w:rPr>
      </w:pPr>
      <w:r w:rsidRPr="006D4516">
        <w:rPr>
          <w:b/>
          <w:sz w:val="22"/>
          <w:szCs w:val="22"/>
          <w:lang w:val="uk-UA"/>
        </w:rPr>
        <w:t xml:space="preserve">Експортні продажі: </w:t>
      </w:r>
      <w:r w:rsidRPr="006D4516">
        <w:rPr>
          <w:sz w:val="22"/>
          <w:szCs w:val="22"/>
          <w:lang w:val="uk-UA"/>
        </w:rPr>
        <w:t>Комп</w:t>
      </w:r>
      <w:r>
        <w:rPr>
          <w:sz w:val="22"/>
          <w:szCs w:val="22"/>
          <w:lang w:val="uk-UA"/>
        </w:rPr>
        <w:t xml:space="preserve">анія продовжує </w:t>
      </w:r>
      <w:r w:rsidR="007B1971">
        <w:rPr>
          <w:sz w:val="22"/>
          <w:szCs w:val="22"/>
          <w:lang w:val="uk-UA"/>
        </w:rPr>
        <w:t>втілювати</w:t>
      </w:r>
      <w:r w:rsidR="006A21AD">
        <w:rPr>
          <w:sz w:val="22"/>
          <w:szCs w:val="22"/>
          <w:lang w:val="uk-UA"/>
        </w:rPr>
        <w:t xml:space="preserve"> стратегію</w:t>
      </w:r>
      <w:r w:rsidRPr="006D4516">
        <w:rPr>
          <w:sz w:val="22"/>
          <w:szCs w:val="22"/>
          <w:lang w:val="uk-UA"/>
        </w:rPr>
        <w:t xml:space="preserve"> диверсифікації екс</w:t>
      </w:r>
      <w:r w:rsidR="006A21AD">
        <w:rPr>
          <w:sz w:val="22"/>
          <w:szCs w:val="22"/>
          <w:lang w:val="uk-UA"/>
        </w:rPr>
        <w:t xml:space="preserve">портних ринків. </w:t>
      </w:r>
      <w:r w:rsidR="00BA7F28">
        <w:rPr>
          <w:sz w:val="22"/>
          <w:szCs w:val="22"/>
          <w:lang w:val="uk-UA"/>
        </w:rPr>
        <w:t xml:space="preserve">З початку 2016 р. МХП представив </w:t>
      </w:r>
      <w:r w:rsidR="00593A34">
        <w:rPr>
          <w:sz w:val="22"/>
          <w:szCs w:val="22"/>
          <w:lang w:val="uk-UA"/>
        </w:rPr>
        <w:t xml:space="preserve">свою </w:t>
      </w:r>
      <w:r w:rsidR="00BA7F28">
        <w:rPr>
          <w:sz w:val="22"/>
          <w:szCs w:val="22"/>
          <w:lang w:val="uk-UA"/>
        </w:rPr>
        <w:t>нову стратегію контролю експортни</w:t>
      </w:r>
      <w:r w:rsidR="00593A34">
        <w:rPr>
          <w:sz w:val="22"/>
          <w:szCs w:val="22"/>
          <w:lang w:val="uk-UA"/>
        </w:rPr>
        <w:t xml:space="preserve">х </w:t>
      </w:r>
      <w:r w:rsidR="00BA7F28">
        <w:rPr>
          <w:sz w:val="22"/>
          <w:szCs w:val="22"/>
          <w:lang w:val="uk-UA"/>
        </w:rPr>
        <w:t>потужност</w:t>
      </w:r>
      <w:r w:rsidR="00593A34">
        <w:rPr>
          <w:sz w:val="22"/>
          <w:szCs w:val="22"/>
          <w:lang w:val="uk-UA"/>
        </w:rPr>
        <w:t>ей</w:t>
      </w:r>
      <w:r w:rsidR="00BA7F28">
        <w:rPr>
          <w:sz w:val="22"/>
          <w:szCs w:val="22"/>
          <w:lang w:val="uk-UA"/>
        </w:rPr>
        <w:t xml:space="preserve"> шляхом </w:t>
      </w:r>
      <w:r w:rsidR="00BA7F28" w:rsidRPr="00BA7F28">
        <w:rPr>
          <w:sz w:val="22"/>
          <w:szCs w:val="22"/>
          <w:lang w:val="uk-UA"/>
        </w:rPr>
        <w:t>створення офісів продаж</w:t>
      </w:r>
      <w:r w:rsidR="00BA7F28">
        <w:rPr>
          <w:sz w:val="22"/>
          <w:szCs w:val="22"/>
          <w:lang w:val="uk-UA"/>
        </w:rPr>
        <w:t>ів</w:t>
      </w:r>
      <w:r w:rsidR="00BA7F28" w:rsidRPr="00BA7F28">
        <w:rPr>
          <w:sz w:val="22"/>
          <w:szCs w:val="22"/>
          <w:lang w:val="uk-UA"/>
        </w:rPr>
        <w:t xml:space="preserve"> на первинних експортних ринках.</w:t>
      </w:r>
      <w:r w:rsidR="00BA7F28">
        <w:rPr>
          <w:sz w:val="22"/>
          <w:szCs w:val="22"/>
          <w:lang w:val="uk-UA"/>
        </w:rPr>
        <w:t xml:space="preserve"> </w:t>
      </w:r>
      <w:r w:rsidR="00BA7F28" w:rsidRPr="00BA7F28">
        <w:rPr>
          <w:sz w:val="22"/>
          <w:szCs w:val="22"/>
          <w:lang w:val="uk-UA"/>
        </w:rPr>
        <w:t xml:space="preserve">Офіси продажів спрямовані на створення </w:t>
      </w:r>
      <w:r w:rsidR="00BA7F28">
        <w:rPr>
          <w:sz w:val="22"/>
          <w:szCs w:val="22"/>
          <w:lang w:val="uk-UA"/>
        </w:rPr>
        <w:t>локаль</w:t>
      </w:r>
      <w:r w:rsidR="00BA7F28" w:rsidRPr="00BA7F28">
        <w:rPr>
          <w:sz w:val="22"/>
          <w:szCs w:val="22"/>
          <w:lang w:val="uk-UA"/>
        </w:rPr>
        <w:t xml:space="preserve">них дистриб'юторських мереж, які </w:t>
      </w:r>
      <w:r w:rsidR="00593A34">
        <w:rPr>
          <w:sz w:val="22"/>
          <w:szCs w:val="22"/>
          <w:lang w:val="uk-UA"/>
        </w:rPr>
        <w:t>стануть</w:t>
      </w:r>
      <w:r w:rsidR="00BA7F28" w:rsidRPr="00BA7F28">
        <w:rPr>
          <w:sz w:val="22"/>
          <w:szCs w:val="22"/>
          <w:lang w:val="uk-UA"/>
        </w:rPr>
        <w:t xml:space="preserve"> основ</w:t>
      </w:r>
      <w:r w:rsidR="00593A34">
        <w:rPr>
          <w:sz w:val="22"/>
          <w:szCs w:val="22"/>
          <w:lang w:val="uk-UA"/>
        </w:rPr>
        <w:t>ою</w:t>
      </w:r>
      <w:r w:rsidR="00BA7F28" w:rsidRPr="00BA7F28">
        <w:rPr>
          <w:sz w:val="22"/>
          <w:szCs w:val="22"/>
          <w:lang w:val="uk-UA"/>
        </w:rPr>
        <w:t xml:space="preserve"> для стабільного збільшення обсягів експорту. У 1 кв. 2016 року обсяг</w:t>
      </w:r>
      <w:r w:rsidR="007B1971">
        <w:rPr>
          <w:sz w:val="22"/>
          <w:szCs w:val="22"/>
          <w:lang w:val="uk-UA"/>
        </w:rPr>
        <w:t>и експорту м'яса птиці склали</w:t>
      </w:r>
      <w:r w:rsidR="00BA7F28" w:rsidRPr="00BA7F28">
        <w:rPr>
          <w:sz w:val="22"/>
          <w:szCs w:val="22"/>
          <w:lang w:val="uk-UA"/>
        </w:rPr>
        <w:t xml:space="preserve"> </w:t>
      </w:r>
      <w:r w:rsidR="000F0D1B">
        <w:rPr>
          <w:sz w:val="22"/>
          <w:szCs w:val="22"/>
          <w:lang w:val="uk-UA"/>
        </w:rPr>
        <w:t>31 970 тонн, що на 23</w:t>
      </w:r>
      <w:r w:rsidR="00BA7F28" w:rsidRPr="00BA7F28">
        <w:rPr>
          <w:sz w:val="22"/>
          <w:szCs w:val="22"/>
          <w:lang w:val="uk-UA"/>
        </w:rPr>
        <w:t xml:space="preserve">% більше, ніж </w:t>
      </w:r>
      <w:r w:rsidR="007B1971">
        <w:rPr>
          <w:sz w:val="22"/>
          <w:szCs w:val="22"/>
          <w:lang w:val="uk-UA"/>
        </w:rPr>
        <w:t>за</w:t>
      </w:r>
      <w:r w:rsidR="00BA7F28" w:rsidRPr="00BA7F28">
        <w:rPr>
          <w:sz w:val="22"/>
          <w:szCs w:val="22"/>
          <w:lang w:val="uk-UA"/>
        </w:rPr>
        <w:t xml:space="preserve"> аналогічн</w:t>
      </w:r>
      <w:r w:rsidR="007B1971">
        <w:rPr>
          <w:sz w:val="22"/>
          <w:szCs w:val="22"/>
          <w:lang w:val="uk-UA"/>
        </w:rPr>
        <w:t>ий</w:t>
      </w:r>
      <w:r w:rsidR="00BA7F28" w:rsidRPr="00BA7F28">
        <w:rPr>
          <w:sz w:val="22"/>
          <w:szCs w:val="22"/>
          <w:lang w:val="uk-UA"/>
        </w:rPr>
        <w:t xml:space="preserve"> період минулого ро</w:t>
      </w:r>
      <w:r w:rsidR="007B1971">
        <w:rPr>
          <w:sz w:val="22"/>
          <w:szCs w:val="22"/>
          <w:lang w:val="uk-UA"/>
        </w:rPr>
        <w:t>ку (1 кв. 2015 р</w:t>
      </w:r>
      <w:r w:rsidR="00BA7F28" w:rsidRPr="00BA7F28">
        <w:rPr>
          <w:sz w:val="22"/>
          <w:szCs w:val="22"/>
          <w:lang w:val="uk-UA"/>
        </w:rPr>
        <w:t>.: 26 050 то</w:t>
      </w:r>
      <w:r w:rsidR="000F0D1B">
        <w:rPr>
          <w:sz w:val="22"/>
          <w:szCs w:val="22"/>
          <w:lang w:val="uk-UA"/>
        </w:rPr>
        <w:t>нн). Експортні продажі склали 27</w:t>
      </w:r>
      <w:r w:rsidR="00BA7F28" w:rsidRPr="00BA7F28">
        <w:rPr>
          <w:sz w:val="22"/>
          <w:szCs w:val="22"/>
          <w:lang w:val="uk-UA"/>
        </w:rPr>
        <w:t xml:space="preserve">% </w:t>
      </w:r>
      <w:r w:rsidR="007B1971">
        <w:rPr>
          <w:sz w:val="22"/>
          <w:szCs w:val="22"/>
          <w:lang w:val="uk-UA"/>
        </w:rPr>
        <w:t>у</w:t>
      </w:r>
      <w:r w:rsidR="00BA7F28" w:rsidRPr="00BA7F28">
        <w:rPr>
          <w:sz w:val="22"/>
          <w:szCs w:val="22"/>
          <w:lang w:val="uk-UA"/>
        </w:rPr>
        <w:t>сіх продажів м'яса птиці в 1 кв. 2016 р</w:t>
      </w:r>
      <w:r w:rsidR="00BA7F28">
        <w:rPr>
          <w:sz w:val="22"/>
          <w:szCs w:val="22"/>
          <w:lang w:val="uk-UA"/>
        </w:rPr>
        <w:t>.</w:t>
      </w:r>
    </w:p>
    <w:p w:rsidR="00BA7F28" w:rsidRPr="00BA7F28" w:rsidRDefault="00D542FD" w:rsidP="00A44A36">
      <w:pPr>
        <w:pStyle w:val="c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lastRenderedPageBreak/>
        <w:t xml:space="preserve">Незважаючи на скорочення експорту до країн СНД </w:t>
      </w:r>
      <w:proofErr w:type="spellStart"/>
      <w:r w:rsidR="00CE3D5E" w:rsidRPr="00CE3D5E">
        <w:rPr>
          <w:sz w:val="22"/>
          <w:szCs w:val="22"/>
          <w:lang w:val="ru-RU"/>
        </w:rPr>
        <w:t>майже</w:t>
      </w:r>
      <w:proofErr w:type="spellEnd"/>
      <w:r w:rsidR="00CE3D5E" w:rsidRPr="00CE3D5E">
        <w:rPr>
          <w:sz w:val="22"/>
          <w:szCs w:val="22"/>
          <w:lang w:val="ru-RU"/>
        </w:rPr>
        <w:t xml:space="preserve"> на 30% </w:t>
      </w:r>
      <w:proofErr w:type="spellStart"/>
      <w:r w:rsidR="00CE3D5E" w:rsidRPr="00CE3D5E">
        <w:rPr>
          <w:sz w:val="22"/>
          <w:szCs w:val="22"/>
          <w:lang w:val="ru-RU"/>
        </w:rPr>
        <w:t>порівнян</w:t>
      </w:r>
      <w:r w:rsidR="00CE3D5E">
        <w:rPr>
          <w:sz w:val="22"/>
          <w:szCs w:val="22"/>
          <w:lang w:val="ru-RU"/>
        </w:rPr>
        <w:t>о</w:t>
      </w:r>
      <w:proofErr w:type="spellEnd"/>
      <w:r w:rsidR="00CE3D5E" w:rsidRPr="00CE3D5E">
        <w:rPr>
          <w:sz w:val="22"/>
          <w:szCs w:val="22"/>
          <w:lang w:val="ru-RU"/>
        </w:rPr>
        <w:t xml:space="preserve"> з </w:t>
      </w:r>
      <w:proofErr w:type="spellStart"/>
      <w:r w:rsidR="00CE3D5E" w:rsidRPr="00CE3D5E">
        <w:rPr>
          <w:sz w:val="22"/>
          <w:szCs w:val="22"/>
          <w:lang w:val="ru-RU"/>
        </w:rPr>
        <w:t>аналогічним</w:t>
      </w:r>
      <w:proofErr w:type="spellEnd"/>
      <w:r w:rsidR="00CE3D5E" w:rsidRPr="00CE3D5E">
        <w:rPr>
          <w:sz w:val="22"/>
          <w:szCs w:val="22"/>
          <w:lang w:val="ru-RU"/>
        </w:rPr>
        <w:t xml:space="preserve"> </w:t>
      </w:r>
      <w:proofErr w:type="spellStart"/>
      <w:r w:rsidR="00CE3D5E" w:rsidRPr="00CE3D5E">
        <w:rPr>
          <w:sz w:val="22"/>
          <w:szCs w:val="22"/>
          <w:lang w:val="ru-RU"/>
        </w:rPr>
        <w:t>періодом</w:t>
      </w:r>
      <w:proofErr w:type="spellEnd"/>
      <w:r w:rsidR="00CE3D5E" w:rsidRPr="00CE3D5E">
        <w:rPr>
          <w:sz w:val="22"/>
          <w:szCs w:val="22"/>
          <w:lang w:val="ru-RU"/>
        </w:rPr>
        <w:t xml:space="preserve"> </w:t>
      </w:r>
      <w:proofErr w:type="spellStart"/>
      <w:r w:rsidR="00CE3D5E" w:rsidRPr="00CE3D5E">
        <w:rPr>
          <w:sz w:val="22"/>
          <w:szCs w:val="22"/>
          <w:lang w:val="ru-RU"/>
        </w:rPr>
        <w:t>минулого</w:t>
      </w:r>
      <w:proofErr w:type="spellEnd"/>
      <w:r w:rsidR="00CE3D5E" w:rsidRPr="00CE3D5E">
        <w:rPr>
          <w:sz w:val="22"/>
          <w:szCs w:val="22"/>
          <w:lang w:val="ru-RU"/>
        </w:rPr>
        <w:t xml:space="preserve"> року</w:t>
      </w:r>
      <w:r>
        <w:rPr>
          <w:sz w:val="22"/>
          <w:szCs w:val="22"/>
          <w:lang w:val="ru-RU"/>
        </w:rPr>
        <w:t xml:space="preserve">, </w:t>
      </w:r>
      <w:proofErr w:type="spellStart"/>
      <w:r w:rsidR="00CE3D5E" w:rsidRPr="00CE3D5E">
        <w:rPr>
          <w:sz w:val="22"/>
          <w:szCs w:val="22"/>
          <w:lang w:val="ru-RU"/>
        </w:rPr>
        <w:t>протягом</w:t>
      </w:r>
      <w:proofErr w:type="spellEnd"/>
      <w:r w:rsidR="00CE3D5E" w:rsidRPr="00CE3D5E">
        <w:rPr>
          <w:sz w:val="22"/>
          <w:szCs w:val="22"/>
          <w:lang w:val="ru-RU"/>
        </w:rPr>
        <w:t xml:space="preserve"> </w:t>
      </w:r>
      <w:proofErr w:type="spellStart"/>
      <w:r w:rsidR="00CE3D5E" w:rsidRPr="00CE3D5E">
        <w:rPr>
          <w:sz w:val="22"/>
          <w:szCs w:val="22"/>
          <w:lang w:val="ru-RU"/>
        </w:rPr>
        <w:t>звітного</w:t>
      </w:r>
      <w:proofErr w:type="spellEnd"/>
      <w:r w:rsidR="00CE3D5E" w:rsidRPr="00CE3D5E">
        <w:rPr>
          <w:sz w:val="22"/>
          <w:szCs w:val="22"/>
          <w:lang w:val="ru-RU"/>
        </w:rPr>
        <w:t xml:space="preserve"> </w:t>
      </w:r>
      <w:proofErr w:type="spellStart"/>
      <w:r w:rsidR="00CE3D5E" w:rsidRPr="00CE3D5E">
        <w:rPr>
          <w:sz w:val="22"/>
          <w:szCs w:val="22"/>
          <w:lang w:val="ru-RU"/>
        </w:rPr>
        <w:t>періоду</w:t>
      </w:r>
      <w:proofErr w:type="spellEnd"/>
      <w:r w:rsidR="00CE3D5E" w:rsidRPr="00CE3D5E">
        <w:rPr>
          <w:sz w:val="22"/>
          <w:szCs w:val="22"/>
          <w:lang w:val="ru-RU"/>
        </w:rPr>
        <w:t xml:space="preserve"> </w:t>
      </w:r>
      <w:proofErr w:type="spellStart"/>
      <w:r w:rsidR="00CE3D5E" w:rsidRPr="00CE3D5E">
        <w:rPr>
          <w:sz w:val="22"/>
          <w:szCs w:val="22"/>
          <w:lang w:val="ru-RU"/>
        </w:rPr>
        <w:t>Компанія</w:t>
      </w:r>
      <w:proofErr w:type="spellEnd"/>
      <w:r w:rsidR="00CE3D5E" w:rsidRPr="00CE3D5E">
        <w:rPr>
          <w:sz w:val="22"/>
          <w:szCs w:val="22"/>
          <w:lang w:val="ru-RU"/>
        </w:rPr>
        <w:t xml:space="preserve"> </w:t>
      </w:r>
      <w:proofErr w:type="spellStart"/>
      <w:r w:rsidR="00CE3D5E" w:rsidRPr="00CE3D5E">
        <w:rPr>
          <w:sz w:val="22"/>
          <w:szCs w:val="22"/>
          <w:lang w:val="ru-RU"/>
        </w:rPr>
        <w:t>значно</w:t>
      </w:r>
      <w:proofErr w:type="spellEnd"/>
      <w:r w:rsidR="00CE3D5E" w:rsidRPr="00CE3D5E">
        <w:rPr>
          <w:sz w:val="22"/>
          <w:szCs w:val="22"/>
          <w:lang w:val="ru-RU"/>
        </w:rPr>
        <w:t xml:space="preserve"> </w:t>
      </w:r>
      <w:proofErr w:type="spellStart"/>
      <w:r w:rsidR="00CE3D5E" w:rsidRPr="00CE3D5E">
        <w:rPr>
          <w:sz w:val="22"/>
          <w:szCs w:val="22"/>
          <w:lang w:val="ru-RU"/>
        </w:rPr>
        <w:t>збільшила</w:t>
      </w:r>
      <w:proofErr w:type="spellEnd"/>
      <w:r w:rsidR="00CE3D5E" w:rsidRPr="00CE3D5E">
        <w:rPr>
          <w:sz w:val="22"/>
          <w:szCs w:val="22"/>
          <w:lang w:val="ru-RU"/>
        </w:rPr>
        <w:t xml:space="preserve"> </w:t>
      </w:r>
      <w:proofErr w:type="spellStart"/>
      <w:r w:rsidR="00CE3D5E" w:rsidRPr="00CE3D5E">
        <w:rPr>
          <w:sz w:val="22"/>
          <w:szCs w:val="22"/>
          <w:lang w:val="ru-RU"/>
        </w:rPr>
        <w:t>експорт</w:t>
      </w:r>
      <w:proofErr w:type="spellEnd"/>
      <w:r w:rsidR="00CE3D5E" w:rsidRPr="00CE3D5E">
        <w:rPr>
          <w:sz w:val="22"/>
          <w:szCs w:val="22"/>
          <w:lang w:val="ru-RU"/>
        </w:rPr>
        <w:t xml:space="preserve"> до </w:t>
      </w:r>
      <w:proofErr w:type="spellStart"/>
      <w:r w:rsidR="00CE3D5E" w:rsidRPr="00CE3D5E">
        <w:rPr>
          <w:sz w:val="22"/>
          <w:szCs w:val="22"/>
          <w:lang w:val="ru-RU"/>
        </w:rPr>
        <w:t>країн</w:t>
      </w:r>
      <w:proofErr w:type="spellEnd"/>
      <w:r w:rsidR="00CE3D5E" w:rsidRPr="00CE3D5E">
        <w:rPr>
          <w:sz w:val="22"/>
          <w:szCs w:val="22"/>
          <w:lang w:val="ru-RU"/>
        </w:rPr>
        <w:t xml:space="preserve"> </w:t>
      </w:r>
      <w:proofErr w:type="spellStart"/>
      <w:r w:rsidR="00CE3D5E" w:rsidRPr="00CE3D5E">
        <w:rPr>
          <w:sz w:val="22"/>
          <w:szCs w:val="22"/>
          <w:lang w:val="ru-RU"/>
        </w:rPr>
        <w:t>Близького</w:t>
      </w:r>
      <w:proofErr w:type="spellEnd"/>
      <w:r w:rsidR="00CE3D5E" w:rsidRPr="00CE3D5E">
        <w:rPr>
          <w:sz w:val="22"/>
          <w:szCs w:val="22"/>
          <w:lang w:val="ru-RU"/>
        </w:rPr>
        <w:t xml:space="preserve"> Сходу і </w:t>
      </w:r>
      <w:proofErr w:type="spellStart"/>
      <w:r>
        <w:rPr>
          <w:sz w:val="22"/>
          <w:szCs w:val="22"/>
          <w:lang w:val="ru-RU"/>
        </w:rPr>
        <w:t>Північної</w:t>
      </w:r>
      <w:proofErr w:type="spellEnd"/>
      <w:r>
        <w:rPr>
          <w:sz w:val="22"/>
          <w:szCs w:val="22"/>
          <w:lang w:val="ru-RU"/>
        </w:rPr>
        <w:t xml:space="preserve"> Африки</w:t>
      </w:r>
      <w:r w:rsidR="00CE3D5E" w:rsidRPr="00CE3D5E">
        <w:rPr>
          <w:sz w:val="22"/>
          <w:szCs w:val="22"/>
          <w:lang w:val="ru-RU"/>
        </w:rPr>
        <w:t xml:space="preserve"> </w:t>
      </w:r>
      <w:r w:rsidR="00593A34">
        <w:rPr>
          <w:sz w:val="22"/>
          <w:szCs w:val="22"/>
          <w:lang w:val="ru-RU"/>
        </w:rPr>
        <w:t>–</w:t>
      </w:r>
      <w:r w:rsidR="00CE3D5E" w:rsidRPr="00CE3D5E">
        <w:rPr>
          <w:sz w:val="22"/>
          <w:szCs w:val="22"/>
          <w:lang w:val="ru-RU"/>
        </w:rPr>
        <w:t xml:space="preserve"> </w:t>
      </w:r>
      <w:proofErr w:type="spellStart"/>
      <w:r w:rsidR="00CE3D5E" w:rsidRPr="00CE3D5E">
        <w:rPr>
          <w:sz w:val="22"/>
          <w:szCs w:val="22"/>
          <w:lang w:val="ru-RU"/>
        </w:rPr>
        <w:t>приблизно</w:t>
      </w:r>
      <w:proofErr w:type="spellEnd"/>
      <w:r w:rsidR="00CE3D5E" w:rsidRPr="00CE3D5E">
        <w:rPr>
          <w:sz w:val="22"/>
          <w:szCs w:val="22"/>
          <w:lang w:val="ru-RU"/>
        </w:rPr>
        <w:t xml:space="preserve"> на 74%, в ЄС </w:t>
      </w:r>
      <w:r w:rsidR="00593A34">
        <w:rPr>
          <w:sz w:val="22"/>
          <w:szCs w:val="22"/>
          <w:lang w:val="ru-RU"/>
        </w:rPr>
        <w:t>–</w:t>
      </w:r>
      <w:r w:rsidR="00CE3D5E" w:rsidRPr="00CE3D5E">
        <w:rPr>
          <w:sz w:val="22"/>
          <w:szCs w:val="22"/>
          <w:lang w:val="ru-RU"/>
        </w:rPr>
        <w:t xml:space="preserve"> </w:t>
      </w:r>
      <w:proofErr w:type="spellStart"/>
      <w:r w:rsidR="00CE3D5E" w:rsidRPr="00CE3D5E">
        <w:rPr>
          <w:sz w:val="22"/>
          <w:szCs w:val="22"/>
          <w:lang w:val="ru-RU"/>
        </w:rPr>
        <w:t>приблизно</w:t>
      </w:r>
      <w:proofErr w:type="spellEnd"/>
      <w:r w:rsidR="00CE3D5E" w:rsidRPr="00CE3D5E">
        <w:rPr>
          <w:sz w:val="22"/>
          <w:szCs w:val="22"/>
          <w:lang w:val="ru-RU"/>
        </w:rPr>
        <w:t xml:space="preserve"> на 38% і </w:t>
      </w:r>
      <w:proofErr w:type="spellStart"/>
      <w:r w:rsidR="00CE3D5E" w:rsidRPr="00CE3D5E">
        <w:rPr>
          <w:sz w:val="22"/>
          <w:szCs w:val="22"/>
          <w:lang w:val="ru-RU"/>
        </w:rPr>
        <w:t>більш</w:t>
      </w:r>
      <w:proofErr w:type="spellEnd"/>
      <w:r w:rsidR="00CE3D5E" w:rsidRPr="00CE3D5E">
        <w:rPr>
          <w:sz w:val="22"/>
          <w:szCs w:val="22"/>
          <w:lang w:val="ru-RU"/>
        </w:rPr>
        <w:t xml:space="preserve"> </w:t>
      </w:r>
      <w:proofErr w:type="spellStart"/>
      <w:r w:rsidR="00CE3D5E" w:rsidRPr="00CE3D5E">
        <w:rPr>
          <w:sz w:val="22"/>
          <w:szCs w:val="22"/>
          <w:lang w:val="ru-RU"/>
        </w:rPr>
        <w:t>ніж</w:t>
      </w:r>
      <w:proofErr w:type="spellEnd"/>
      <w:r w:rsidR="00CE3D5E" w:rsidRPr="00CE3D5E">
        <w:rPr>
          <w:sz w:val="22"/>
          <w:szCs w:val="22"/>
          <w:lang w:val="ru-RU"/>
        </w:rPr>
        <w:t xml:space="preserve"> </w:t>
      </w:r>
      <w:r w:rsidR="00593A34">
        <w:rPr>
          <w:sz w:val="22"/>
          <w:szCs w:val="22"/>
          <w:lang w:val="ru-RU"/>
        </w:rPr>
        <w:t>у</w:t>
      </w:r>
      <w:r w:rsidR="00CE3D5E" w:rsidRPr="00CE3D5E">
        <w:rPr>
          <w:sz w:val="22"/>
          <w:szCs w:val="22"/>
          <w:lang w:val="ru-RU"/>
        </w:rPr>
        <w:t xml:space="preserve"> 4 рази в Африку.</w:t>
      </w:r>
    </w:p>
    <w:p w:rsidR="006D4516" w:rsidRPr="006D4516" w:rsidRDefault="006D4516" w:rsidP="00A44A36">
      <w:pPr>
        <w:pStyle w:val="c3"/>
        <w:jc w:val="both"/>
        <w:rPr>
          <w:b/>
          <w:sz w:val="22"/>
          <w:szCs w:val="22"/>
          <w:lang w:val="uk-UA"/>
        </w:rPr>
      </w:pPr>
      <w:r w:rsidRPr="006D4516">
        <w:rPr>
          <w:b/>
          <w:sz w:val="22"/>
          <w:szCs w:val="22"/>
          <w:lang w:val="uk-UA"/>
        </w:rPr>
        <w:t xml:space="preserve">Ціни: </w:t>
      </w:r>
      <w:r w:rsidRPr="006D4516">
        <w:rPr>
          <w:sz w:val="22"/>
          <w:szCs w:val="22"/>
          <w:lang w:val="uk-UA"/>
        </w:rPr>
        <w:t>Середня ціна на курятину в 1 кв. 201</w:t>
      </w:r>
      <w:r w:rsidR="00070C8A">
        <w:rPr>
          <w:sz w:val="22"/>
          <w:szCs w:val="22"/>
          <w:lang w:val="uk-UA"/>
        </w:rPr>
        <w:t>6</w:t>
      </w:r>
      <w:r w:rsidRPr="006D4516">
        <w:rPr>
          <w:sz w:val="22"/>
          <w:szCs w:val="22"/>
          <w:lang w:val="uk-UA"/>
        </w:rPr>
        <w:t xml:space="preserve"> р. зросла на </w:t>
      </w:r>
      <w:r w:rsidR="00CE3D5E">
        <w:rPr>
          <w:sz w:val="22"/>
          <w:szCs w:val="22"/>
          <w:lang w:val="uk-UA"/>
        </w:rPr>
        <w:t>17</w:t>
      </w:r>
      <w:r w:rsidRPr="006D4516">
        <w:rPr>
          <w:sz w:val="22"/>
          <w:szCs w:val="22"/>
          <w:lang w:val="uk-UA"/>
        </w:rPr>
        <w:t xml:space="preserve">% до </w:t>
      </w:r>
      <w:r w:rsidR="000F0D1B">
        <w:rPr>
          <w:sz w:val="22"/>
          <w:szCs w:val="22"/>
          <w:lang w:val="ru-RU"/>
        </w:rPr>
        <w:t>29,6</w:t>
      </w:r>
      <w:r w:rsidR="00CE3D5E">
        <w:rPr>
          <w:sz w:val="22"/>
          <w:szCs w:val="22"/>
          <w:lang w:val="ru-RU"/>
        </w:rPr>
        <w:t xml:space="preserve">0 </w:t>
      </w:r>
      <w:r w:rsidRPr="006D4516">
        <w:rPr>
          <w:sz w:val="22"/>
          <w:szCs w:val="22"/>
          <w:lang w:val="uk-UA"/>
        </w:rPr>
        <w:t>грн. за 1</w:t>
      </w:r>
      <w:r>
        <w:rPr>
          <w:sz w:val="22"/>
          <w:szCs w:val="22"/>
          <w:lang w:val="uk-UA"/>
        </w:rPr>
        <w:t xml:space="preserve"> кг</w:t>
      </w:r>
      <w:r w:rsidR="00CE3D5E">
        <w:rPr>
          <w:sz w:val="22"/>
          <w:szCs w:val="22"/>
          <w:lang w:val="uk-UA"/>
        </w:rPr>
        <w:t xml:space="preserve"> (без ПДВ), у порівнянні з аналогічним періодом минулого року, і залишилась на тому ж рівні порівнян</w:t>
      </w:r>
      <w:r w:rsidR="00070C8A">
        <w:rPr>
          <w:sz w:val="22"/>
          <w:szCs w:val="22"/>
          <w:lang w:val="uk-UA"/>
        </w:rPr>
        <w:t>о</w:t>
      </w:r>
      <w:r w:rsidR="00CE3D5E">
        <w:rPr>
          <w:sz w:val="22"/>
          <w:szCs w:val="22"/>
          <w:lang w:val="uk-UA"/>
        </w:rPr>
        <w:t xml:space="preserve"> з 4 кв. 2015 р. Ріст ціни, у порівнянні з аналогічним періодом минулого року, обумовлений </w:t>
      </w:r>
      <w:r w:rsidR="00070C8A">
        <w:rPr>
          <w:sz w:val="22"/>
          <w:szCs w:val="22"/>
          <w:lang w:val="uk-UA"/>
        </w:rPr>
        <w:t>здебільшого з</w:t>
      </w:r>
      <w:r w:rsidR="00CE3D5E">
        <w:rPr>
          <w:sz w:val="22"/>
          <w:szCs w:val="22"/>
          <w:lang w:val="uk-UA"/>
        </w:rPr>
        <w:t>рост</w:t>
      </w:r>
      <w:r w:rsidR="00070C8A">
        <w:rPr>
          <w:sz w:val="22"/>
          <w:szCs w:val="22"/>
          <w:lang w:val="uk-UA"/>
        </w:rPr>
        <w:t>анням</w:t>
      </w:r>
      <w:r w:rsidR="00CE3D5E">
        <w:rPr>
          <w:sz w:val="22"/>
          <w:szCs w:val="22"/>
          <w:lang w:val="uk-UA"/>
        </w:rPr>
        <w:t xml:space="preserve"> ціни на внутрішньому ринку.</w:t>
      </w:r>
    </w:p>
    <w:p w:rsidR="000F11ED" w:rsidRPr="00356595" w:rsidRDefault="00C279CF" w:rsidP="000F11ED">
      <w:pPr>
        <w:pStyle w:val="c3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Продаж олії</w:t>
      </w:r>
    </w:p>
    <w:tbl>
      <w:tblPr>
        <w:tblW w:w="62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7"/>
        <w:gridCol w:w="756"/>
        <w:gridCol w:w="992"/>
        <w:gridCol w:w="799"/>
        <w:gridCol w:w="236"/>
      </w:tblGrid>
      <w:tr w:rsidR="00A44A36" w:rsidRPr="00356595" w:rsidTr="00CE3D5E">
        <w:trPr>
          <w:trHeight w:val="510"/>
        </w:trPr>
        <w:tc>
          <w:tcPr>
            <w:tcW w:w="3481" w:type="dxa"/>
            <w:tcBorders>
              <w:bottom w:val="single" w:sz="12" w:space="0" w:color="auto"/>
            </w:tcBorders>
            <w:noWrap/>
            <w:vAlign w:val="bottom"/>
          </w:tcPr>
          <w:p w:rsidR="00A44A36" w:rsidRPr="00356595" w:rsidRDefault="00CE3D5E" w:rsidP="00BA7F28">
            <w:pPr>
              <w:rPr>
                <w:rFonts w:ascii="Arial" w:hAnsi="Arial" w:cs="Arial"/>
                <w:lang w:val="uk-UA"/>
              </w:rPr>
            </w:pPr>
            <w:r w:rsidRPr="00997865">
              <w:rPr>
                <w:rFonts w:ascii="Arial" w:hAnsi="Arial" w:cs="Arial"/>
                <w:lang w:val="uk-UA"/>
              </w:rPr>
              <w:t>Обсяг продажів, тонн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bottom"/>
          </w:tcPr>
          <w:p w:rsidR="00A44A36" w:rsidRPr="00356595" w:rsidRDefault="00A44A36" w:rsidP="00CE3D5E">
            <w:pPr>
              <w:jc w:val="right"/>
              <w:rPr>
                <w:rFonts w:ascii="Arial" w:hAnsi="Arial" w:cs="Arial"/>
                <w:b/>
                <w:bCs/>
                <w:lang w:val="uk-UA"/>
              </w:rPr>
            </w:pPr>
            <w:r w:rsidRPr="00356595">
              <w:rPr>
                <w:rFonts w:ascii="Arial" w:hAnsi="Arial" w:cs="Arial"/>
                <w:b/>
                <w:bCs/>
                <w:lang w:val="uk-UA"/>
              </w:rPr>
              <w:t>1</w:t>
            </w:r>
            <w:r w:rsidR="000F11ED" w:rsidRPr="00356595">
              <w:rPr>
                <w:rFonts w:ascii="Arial" w:hAnsi="Arial" w:cs="Arial"/>
                <w:b/>
                <w:bCs/>
                <w:lang w:val="uk-UA"/>
              </w:rPr>
              <w:t xml:space="preserve"> кв.</w:t>
            </w:r>
            <w:r w:rsidRPr="00356595">
              <w:rPr>
                <w:rFonts w:ascii="Arial" w:hAnsi="Arial" w:cs="Arial"/>
                <w:b/>
                <w:bCs/>
                <w:lang w:val="uk-UA"/>
              </w:rPr>
              <w:t xml:space="preserve">   201</w:t>
            </w:r>
            <w:r w:rsidR="00CE3D5E">
              <w:rPr>
                <w:rFonts w:ascii="Arial" w:hAnsi="Arial" w:cs="Arial"/>
                <w:b/>
                <w:bCs/>
                <w:lang w:val="uk-UA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A36" w:rsidRPr="00356595" w:rsidRDefault="00A44A36" w:rsidP="00CE3D5E">
            <w:pPr>
              <w:jc w:val="right"/>
              <w:rPr>
                <w:rFonts w:ascii="Arial" w:hAnsi="Arial" w:cs="Arial"/>
                <w:b/>
                <w:bCs/>
                <w:lang w:val="uk-UA"/>
              </w:rPr>
            </w:pPr>
            <w:r w:rsidRPr="00356595">
              <w:rPr>
                <w:rFonts w:ascii="Arial" w:hAnsi="Arial" w:cs="Arial"/>
                <w:b/>
                <w:bCs/>
                <w:lang w:val="uk-UA"/>
              </w:rPr>
              <w:t>1</w:t>
            </w:r>
            <w:r w:rsidR="000F11ED" w:rsidRPr="00356595">
              <w:rPr>
                <w:rFonts w:ascii="Arial" w:hAnsi="Arial" w:cs="Arial"/>
                <w:b/>
                <w:bCs/>
                <w:lang w:val="uk-UA"/>
              </w:rPr>
              <w:t xml:space="preserve"> кв.</w:t>
            </w:r>
            <w:r w:rsidRPr="00356595">
              <w:rPr>
                <w:rFonts w:ascii="Arial" w:hAnsi="Arial" w:cs="Arial"/>
                <w:b/>
                <w:bCs/>
                <w:lang w:val="uk-UA"/>
              </w:rPr>
              <w:t xml:space="preserve"> 201</w:t>
            </w:r>
            <w:r w:rsidR="00CE3D5E">
              <w:rPr>
                <w:rFonts w:ascii="Arial" w:hAnsi="Arial" w:cs="Arial"/>
                <w:b/>
                <w:bCs/>
                <w:lang w:val="uk-UA"/>
              </w:rPr>
              <w:t>5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A36" w:rsidRPr="00356595" w:rsidRDefault="000F11ED" w:rsidP="00BA7F28">
            <w:pPr>
              <w:jc w:val="right"/>
              <w:rPr>
                <w:rFonts w:ascii="Arial" w:hAnsi="Arial" w:cs="Arial"/>
                <w:i/>
                <w:iCs/>
                <w:lang w:val="uk-UA"/>
              </w:rPr>
            </w:pPr>
            <w:r w:rsidRPr="00356595">
              <w:rPr>
                <w:rFonts w:ascii="Arial" w:hAnsi="Arial" w:cs="Arial"/>
                <w:i/>
                <w:iCs/>
                <w:lang w:val="uk-UA"/>
              </w:rPr>
              <w:t>%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A36" w:rsidRPr="00356595" w:rsidRDefault="00A44A36" w:rsidP="00BA7F28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CE3D5E" w:rsidRPr="00356595" w:rsidTr="00C279CF">
        <w:trPr>
          <w:trHeight w:val="255"/>
        </w:trPr>
        <w:tc>
          <w:tcPr>
            <w:tcW w:w="3449" w:type="dxa"/>
            <w:noWrap/>
            <w:vAlign w:val="bottom"/>
          </w:tcPr>
          <w:p w:rsidR="00CE3D5E" w:rsidRPr="00997865" w:rsidRDefault="00CE3D5E" w:rsidP="00BA7F2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Соняшникова олія</w:t>
            </w:r>
            <w:r w:rsidRPr="00997865">
              <w:rPr>
                <w:rFonts w:ascii="Arial" w:hAnsi="Arial" w:cs="Arial"/>
                <w:lang w:val="uk-UA"/>
              </w:rPr>
              <w:t>, тонн</w:t>
            </w:r>
          </w:p>
        </w:tc>
        <w:tc>
          <w:tcPr>
            <w:tcW w:w="804" w:type="dxa"/>
            <w:vAlign w:val="bottom"/>
          </w:tcPr>
          <w:p w:rsidR="00CE3D5E" w:rsidRPr="00790859" w:rsidRDefault="00CE3D5E" w:rsidP="00CE3D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745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3D5E" w:rsidRPr="00D13147" w:rsidRDefault="00CE3D5E" w:rsidP="00CE3D5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66 769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3D5E" w:rsidRPr="00D13147" w:rsidRDefault="00CE3D5E" w:rsidP="00CE3D5E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</w:t>
            </w:r>
            <w:r w:rsidRPr="00D13147">
              <w:rPr>
                <w:rFonts w:ascii="Arial" w:hAnsi="Arial" w:cs="Arial"/>
                <w:i/>
                <w:iCs/>
              </w:rPr>
              <w:t>%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3D5E" w:rsidRPr="00356595" w:rsidRDefault="00CE3D5E" w:rsidP="00BA7F28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CE3D5E" w:rsidRPr="00356595" w:rsidTr="00CE3D5E">
        <w:trPr>
          <w:trHeight w:val="255"/>
        </w:trPr>
        <w:tc>
          <w:tcPr>
            <w:tcW w:w="3465" w:type="dxa"/>
            <w:noWrap/>
            <w:vAlign w:val="bottom"/>
          </w:tcPr>
          <w:p w:rsidR="00CE3D5E" w:rsidRPr="00997865" w:rsidRDefault="00CE3D5E" w:rsidP="00BA7F2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Соєва олія, тонн</w:t>
            </w:r>
          </w:p>
        </w:tc>
        <w:tc>
          <w:tcPr>
            <w:tcW w:w="788" w:type="dxa"/>
            <w:vAlign w:val="bottom"/>
          </w:tcPr>
          <w:p w:rsidR="00CE3D5E" w:rsidRPr="00D13147" w:rsidRDefault="00CE3D5E" w:rsidP="00CE3D5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150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3D5E" w:rsidRPr="00D13147" w:rsidRDefault="00CE3D5E" w:rsidP="00CE3D5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  <w:tc>
          <w:tcPr>
            <w:tcW w:w="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3D5E" w:rsidRPr="00790859" w:rsidRDefault="00CE3D5E" w:rsidP="00CE3D5E">
            <w:pPr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n/a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3D5E" w:rsidRPr="00356595" w:rsidRDefault="00CE3D5E" w:rsidP="00BA7F28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</w:tbl>
    <w:p w:rsidR="00C279CF" w:rsidRDefault="00C279CF" w:rsidP="006D66EF">
      <w:pPr>
        <w:pStyle w:val="a5"/>
        <w:jc w:val="both"/>
        <w:rPr>
          <w:rFonts w:ascii="Arial" w:hAnsi="Arial" w:cs="Arial"/>
          <w:sz w:val="22"/>
          <w:szCs w:val="22"/>
          <w:lang w:val="uk-UA" w:eastAsia="ru-RU"/>
        </w:rPr>
      </w:pPr>
    </w:p>
    <w:p w:rsidR="00CE3D5E" w:rsidRDefault="00CE3D5E" w:rsidP="006D66EF">
      <w:pPr>
        <w:pStyle w:val="a5"/>
        <w:jc w:val="both"/>
        <w:rPr>
          <w:rFonts w:ascii="Arial" w:hAnsi="Arial" w:cs="Arial"/>
          <w:sz w:val="22"/>
          <w:szCs w:val="22"/>
          <w:lang w:val="uk-UA" w:eastAsia="ru-RU"/>
        </w:rPr>
      </w:pPr>
      <w:r w:rsidRPr="00CE3D5E">
        <w:rPr>
          <w:rFonts w:ascii="Arial" w:hAnsi="Arial" w:cs="Arial"/>
          <w:sz w:val="22"/>
          <w:szCs w:val="22"/>
          <w:lang w:val="uk-UA" w:eastAsia="ru-RU"/>
        </w:rPr>
        <w:t>У 1 кв. 2016 р</w:t>
      </w:r>
      <w:r>
        <w:rPr>
          <w:rFonts w:ascii="Arial" w:hAnsi="Arial" w:cs="Arial"/>
          <w:sz w:val="22"/>
          <w:szCs w:val="22"/>
          <w:lang w:val="uk-UA" w:eastAsia="ru-RU"/>
        </w:rPr>
        <w:t>.</w:t>
      </w:r>
      <w:r w:rsidRPr="00CE3D5E">
        <w:rPr>
          <w:rFonts w:ascii="Arial" w:hAnsi="Arial" w:cs="Arial"/>
          <w:sz w:val="22"/>
          <w:szCs w:val="22"/>
          <w:lang w:val="uk-UA" w:eastAsia="ru-RU"/>
        </w:rPr>
        <w:t xml:space="preserve"> завдяки збільшенню виробництва комбікормів</w:t>
      </w:r>
      <w:r>
        <w:rPr>
          <w:rFonts w:ascii="Arial" w:hAnsi="Arial" w:cs="Arial"/>
          <w:sz w:val="22"/>
          <w:szCs w:val="22"/>
          <w:lang w:val="uk-UA" w:eastAsia="ru-RU"/>
        </w:rPr>
        <w:t>,</w:t>
      </w:r>
      <w:r w:rsidRPr="00CE3D5E">
        <w:rPr>
          <w:rFonts w:ascii="Arial" w:hAnsi="Arial" w:cs="Arial"/>
          <w:sz w:val="22"/>
          <w:szCs w:val="22"/>
          <w:lang w:val="uk-UA" w:eastAsia="ru-RU"/>
        </w:rPr>
        <w:t xml:space="preserve"> обсяг виробництва соняшникової ол</w:t>
      </w:r>
      <w:r w:rsidR="00D542FD">
        <w:rPr>
          <w:rFonts w:ascii="Arial" w:hAnsi="Arial" w:cs="Arial"/>
          <w:sz w:val="22"/>
          <w:szCs w:val="22"/>
          <w:lang w:val="uk-UA" w:eastAsia="ru-RU"/>
        </w:rPr>
        <w:t>ії зріс на 24</w:t>
      </w:r>
      <w:r w:rsidR="00070C8A">
        <w:rPr>
          <w:rFonts w:ascii="Arial" w:hAnsi="Arial" w:cs="Arial"/>
          <w:sz w:val="22"/>
          <w:szCs w:val="22"/>
          <w:lang w:val="uk-UA" w:eastAsia="ru-RU"/>
        </w:rPr>
        <w:t xml:space="preserve">% до 82 745 тонн, </w:t>
      </w:r>
      <w:r w:rsidRPr="00CE3D5E">
        <w:rPr>
          <w:rFonts w:ascii="Arial" w:hAnsi="Arial" w:cs="Arial"/>
          <w:sz w:val="22"/>
          <w:szCs w:val="22"/>
          <w:lang w:val="uk-UA" w:eastAsia="ru-RU"/>
        </w:rPr>
        <w:t>порівнян</w:t>
      </w:r>
      <w:r w:rsidR="00070C8A">
        <w:rPr>
          <w:rFonts w:ascii="Arial" w:hAnsi="Arial" w:cs="Arial"/>
          <w:sz w:val="22"/>
          <w:szCs w:val="22"/>
          <w:lang w:val="uk-UA" w:eastAsia="ru-RU"/>
        </w:rPr>
        <w:t>о з</w:t>
      </w:r>
      <w:r w:rsidRPr="00CE3D5E">
        <w:rPr>
          <w:rFonts w:ascii="Arial" w:hAnsi="Arial" w:cs="Arial"/>
          <w:sz w:val="22"/>
          <w:szCs w:val="22"/>
          <w:lang w:val="uk-UA" w:eastAsia="ru-RU"/>
        </w:rPr>
        <w:t xml:space="preserve"> 66 759 </w:t>
      </w:r>
      <w:r>
        <w:rPr>
          <w:rFonts w:ascii="Arial" w:hAnsi="Arial" w:cs="Arial"/>
          <w:sz w:val="22"/>
          <w:szCs w:val="22"/>
          <w:lang w:val="uk-UA" w:eastAsia="ru-RU"/>
        </w:rPr>
        <w:t xml:space="preserve">тонн </w:t>
      </w:r>
      <w:r w:rsidR="00070C8A">
        <w:rPr>
          <w:rFonts w:ascii="Arial" w:hAnsi="Arial" w:cs="Arial"/>
          <w:sz w:val="22"/>
          <w:szCs w:val="22"/>
          <w:lang w:val="uk-UA" w:eastAsia="ru-RU"/>
        </w:rPr>
        <w:t>у</w:t>
      </w:r>
      <w:r>
        <w:rPr>
          <w:rFonts w:ascii="Arial" w:hAnsi="Arial" w:cs="Arial"/>
          <w:sz w:val="22"/>
          <w:szCs w:val="22"/>
          <w:lang w:val="uk-UA" w:eastAsia="ru-RU"/>
        </w:rPr>
        <w:t xml:space="preserve"> </w:t>
      </w:r>
      <w:r w:rsidRPr="00CE3D5E">
        <w:rPr>
          <w:rFonts w:ascii="Arial" w:hAnsi="Arial" w:cs="Arial"/>
          <w:sz w:val="22"/>
          <w:szCs w:val="22"/>
          <w:lang w:val="uk-UA" w:eastAsia="ru-RU"/>
        </w:rPr>
        <w:t>1 кв. 2015 р</w:t>
      </w:r>
      <w:r>
        <w:rPr>
          <w:rFonts w:ascii="Arial" w:hAnsi="Arial" w:cs="Arial"/>
          <w:sz w:val="22"/>
          <w:szCs w:val="22"/>
          <w:lang w:val="uk-UA" w:eastAsia="ru-RU"/>
        </w:rPr>
        <w:t>.</w:t>
      </w:r>
    </w:p>
    <w:p w:rsidR="00756F40" w:rsidRDefault="00756F40" w:rsidP="006D66EF">
      <w:pPr>
        <w:pStyle w:val="a5"/>
        <w:jc w:val="both"/>
        <w:rPr>
          <w:rFonts w:ascii="Arial" w:hAnsi="Arial" w:cs="Arial"/>
          <w:sz w:val="22"/>
          <w:szCs w:val="22"/>
          <w:lang w:val="uk-UA" w:eastAsia="ru-RU"/>
        </w:rPr>
      </w:pPr>
    </w:p>
    <w:p w:rsidR="00CE3D5E" w:rsidRDefault="00070C8A" w:rsidP="006D66EF">
      <w:pPr>
        <w:pStyle w:val="a5"/>
        <w:jc w:val="both"/>
        <w:rPr>
          <w:rFonts w:ascii="Arial" w:hAnsi="Arial" w:cs="Arial"/>
          <w:sz w:val="22"/>
          <w:szCs w:val="22"/>
          <w:lang w:val="uk-UA" w:eastAsia="ru-RU"/>
        </w:rPr>
      </w:pPr>
      <w:r>
        <w:rPr>
          <w:rFonts w:ascii="Arial" w:hAnsi="Arial" w:cs="Arial"/>
          <w:sz w:val="22"/>
          <w:szCs w:val="22"/>
          <w:lang w:val="uk-UA" w:eastAsia="ru-RU"/>
        </w:rPr>
        <w:t>У 3 кв. 2015 р. МХП ввів в експлуатацію оліє</w:t>
      </w:r>
      <w:r w:rsidR="00CE3D5E" w:rsidRPr="00CE3D5E">
        <w:rPr>
          <w:rFonts w:ascii="Arial" w:hAnsi="Arial" w:cs="Arial"/>
          <w:sz w:val="22"/>
          <w:szCs w:val="22"/>
          <w:lang w:val="uk-UA" w:eastAsia="ru-RU"/>
        </w:rPr>
        <w:t>екстракційний завод</w:t>
      </w:r>
      <w:r w:rsidR="00CE3D5E">
        <w:rPr>
          <w:rFonts w:ascii="Arial" w:hAnsi="Arial" w:cs="Arial"/>
          <w:sz w:val="22"/>
          <w:szCs w:val="22"/>
          <w:lang w:val="uk-UA" w:eastAsia="ru-RU"/>
        </w:rPr>
        <w:t xml:space="preserve"> з переробки сої</w:t>
      </w:r>
      <w:r>
        <w:rPr>
          <w:rFonts w:ascii="Arial" w:hAnsi="Arial" w:cs="Arial"/>
          <w:sz w:val="22"/>
          <w:szCs w:val="22"/>
          <w:lang w:val="uk-UA" w:eastAsia="ru-RU"/>
        </w:rPr>
        <w:t>.</w:t>
      </w:r>
      <w:r w:rsidR="00CE3D5E">
        <w:rPr>
          <w:rFonts w:ascii="Arial" w:hAnsi="Arial" w:cs="Arial"/>
          <w:sz w:val="22"/>
          <w:szCs w:val="22"/>
          <w:lang w:val="uk-UA" w:eastAsia="ru-RU"/>
        </w:rPr>
        <w:t xml:space="preserve"> </w:t>
      </w:r>
      <w:r w:rsidR="00CE3D5E" w:rsidRPr="00CE3D5E">
        <w:rPr>
          <w:rFonts w:ascii="Arial" w:hAnsi="Arial" w:cs="Arial"/>
          <w:sz w:val="22"/>
          <w:szCs w:val="22"/>
          <w:lang w:val="uk-UA" w:eastAsia="ru-RU"/>
        </w:rPr>
        <w:t>Працю</w:t>
      </w:r>
      <w:r>
        <w:rPr>
          <w:rFonts w:ascii="Arial" w:hAnsi="Arial" w:cs="Arial"/>
          <w:sz w:val="22"/>
          <w:szCs w:val="22"/>
          <w:lang w:val="uk-UA" w:eastAsia="ru-RU"/>
        </w:rPr>
        <w:t>ючи на 50% потужностей</w:t>
      </w:r>
      <w:r w:rsidR="00CE3D5E" w:rsidRPr="00CE3D5E">
        <w:rPr>
          <w:rFonts w:ascii="Arial" w:hAnsi="Arial" w:cs="Arial"/>
          <w:sz w:val="22"/>
          <w:szCs w:val="22"/>
          <w:lang w:val="uk-UA" w:eastAsia="ru-RU"/>
        </w:rPr>
        <w:t>, він повністю забезпечує п</w:t>
      </w:r>
      <w:r w:rsidR="00CE3D5E">
        <w:rPr>
          <w:rFonts w:ascii="Arial" w:hAnsi="Arial" w:cs="Arial"/>
          <w:sz w:val="22"/>
          <w:szCs w:val="22"/>
          <w:lang w:val="uk-UA" w:eastAsia="ru-RU"/>
        </w:rPr>
        <w:t xml:space="preserve">отреби МХП </w:t>
      </w:r>
      <w:r>
        <w:rPr>
          <w:rFonts w:ascii="Arial" w:hAnsi="Arial" w:cs="Arial"/>
          <w:sz w:val="22"/>
          <w:szCs w:val="22"/>
          <w:lang w:val="uk-UA" w:eastAsia="ru-RU"/>
        </w:rPr>
        <w:t xml:space="preserve">у </w:t>
      </w:r>
      <w:r w:rsidR="00CE3D5E">
        <w:rPr>
          <w:rFonts w:ascii="Arial" w:hAnsi="Arial" w:cs="Arial"/>
          <w:sz w:val="22"/>
          <w:szCs w:val="22"/>
          <w:lang w:val="uk-UA" w:eastAsia="ru-RU"/>
        </w:rPr>
        <w:t>соєвому шроті</w:t>
      </w:r>
      <w:r w:rsidR="00D542FD">
        <w:rPr>
          <w:rFonts w:ascii="Arial" w:hAnsi="Arial" w:cs="Arial"/>
          <w:sz w:val="22"/>
          <w:szCs w:val="22"/>
          <w:lang w:val="uk-UA" w:eastAsia="ru-RU"/>
        </w:rPr>
        <w:t xml:space="preserve"> для виробництва комбікорму</w:t>
      </w:r>
      <w:r w:rsidR="00CE3D5E">
        <w:rPr>
          <w:rFonts w:ascii="Arial" w:hAnsi="Arial" w:cs="Arial"/>
          <w:sz w:val="22"/>
          <w:szCs w:val="22"/>
          <w:lang w:val="uk-UA" w:eastAsia="ru-RU"/>
        </w:rPr>
        <w:t>. У 1 </w:t>
      </w:r>
      <w:r w:rsidR="00CE3D5E" w:rsidRPr="00CE3D5E">
        <w:rPr>
          <w:rFonts w:ascii="Arial" w:hAnsi="Arial" w:cs="Arial"/>
          <w:sz w:val="22"/>
          <w:szCs w:val="22"/>
          <w:lang w:val="uk-UA" w:eastAsia="ru-RU"/>
        </w:rPr>
        <w:t>кв. 2016 р експортні продажі соєвої олії склали 8 150 тонн</w:t>
      </w:r>
      <w:r w:rsidR="00CE3D5E">
        <w:rPr>
          <w:rFonts w:ascii="Arial" w:hAnsi="Arial" w:cs="Arial"/>
          <w:sz w:val="22"/>
          <w:szCs w:val="22"/>
          <w:lang w:val="uk-UA" w:eastAsia="ru-RU"/>
        </w:rPr>
        <w:t>.</w:t>
      </w:r>
    </w:p>
    <w:p w:rsidR="00CE3D5E" w:rsidRDefault="00CE3D5E" w:rsidP="006D66EF">
      <w:pPr>
        <w:pStyle w:val="a5"/>
        <w:jc w:val="both"/>
        <w:rPr>
          <w:rFonts w:ascii="Arial" w:hAnsi="Arial" w:cs="Arial"/>
          <w:sz w:val="22"/>
          <w:szCs w:val="22"/>
          <w:lang w:val="uk-UA" w:eastAsia="ru-RU"/>
        </w:rPr>
      </w:pPr>
    </w:p>
    <w:p w:rsidR="00CE3D5E" w:rsidRDefault="00CE3D5E" w:rsidP="006D66EF">
      <w:pPr>
        <w:pStyle w:val="a5"/>
        <w:jc w:val="both"/>
        <w:rPr>
          <w:rFonts w:ascii="Arial" w:hAnsi="Arial" w:cs="Arial"/>
          <w:sz w:val="22"/>
          <w:szCs w:val="22"/>
          <w:lang w:val="uk-UA" w:eastAsia="ru-RU"/>
        </w:rPr>
      </w:pPr>
      <w:r w:rsidRPr="00CE3D5E">
        <w:rPr>
          <w:rFonts w:ascii="Arial" w:hAnsi="Arial" w:cs="Arial"/>
          <w:sz w:val="22"/>
          <w:szCs w:val="22"/>
          <w:lang w:val="uk-UA" w:eastAsia="ru-RU"/>
        </w:rPr>
        <w:t xml:space="preserve">Компанія розглядає експорт рослинних олій </w:t>
      </w:r>
      <w:r w:rsidR="00756F40">
        <w:rPr>
          <w:rFonts w:ascii="Arial" w:hAnsi="Arial" w:cs="Arial"/>
          <w:sz w:val="22"/>
          <w:szCs w:val="22"/>
          <w:lang w:val="uk-UA" w:eastAsia="ru-RU"/>
        </w:rPr>
        <w:t>як</w:t>
      </w:r>
      <w:r w:rsidRPr="00CE3D5E">
        <w:rPr>
          <w:rFonts w:ascii="Arial" w:hAnsi="Arial" w:cs="Arial"/>
          <w:sz w:val="22"/>
          <w:szCs w:val="22"/>
          <w:lang w:val="uk-UA" w:eastAsia="ru-RU"/>
        </w:rPr>
        <w:t xml:space="preserve"> од</w:t>
      </w:r>
      <w:r w:rsidR="00756F40">
        <w:rPr>
          <w:rFonts w:ascii="Arial" w:hAnsi="Arial" w:cs="Arial"/>
          <w:sz w:val="22"/>
          <w:szCs w:val="22"/>
          <w:lang w:val="uk-UA" w:eastAsia="ru-RU"/>
        </w:rPr>
        <w:t>и</w:t>
      </w:r>
      <w:r w:rsidRPr="00CE3D5E">
        <w:rPr>
          <w:rFonts w:ascii="Arial" w:hAnsi="Arial" w:cs="Arial"/>
          <w:sz w:val="22"/>
          <w:szCs w:val="22"/>
          <w:lang w:val="uk-UA" w:eastAsia="ru-RU"/>
        </w:rPr>
        <w:t>н з</w:t>
      </w:r>
      <w:r w:rsidR="00756F40">
        <w:rPr>
          <w:rFonts w:ascii="Arial" w:hAnsi="Arial" w:cs="Arial"/>
          <w:sz w:val="22"/>
          <w:szCs w:val="22"/>
          <w:lang w:val="uk-UA" w:eastAsia="ru-RU"/>
        </w:rPr>
        <w:t xml:space="preserve"> "природних методів хеджування", який </w:t>
      </w:r>
      <w:r w:rsidRPr="00CE3D5E">
        <w:rPr>
          <w:rFonts w:ascii="Arial" w:hAnsi="Arial" w:cs="Arial"/>
          <w:sz w:val="22"/>
          <w:szCs w:val="22"/>
          <w:lang w:val="uk-UA" w:eastAsia="ru-RU"/>
        </w:rPr>
        <w:t>акумул</w:t>
      </w:r>
      <w:r w:rsidR="00756F40">
        <w:rPr>
          <w:rFonts w:ascii="Arial" w:hAnsi="Arial" w:cs="Arial"/>
          <w:sz w:val="22"/>
          <w:szCs w:val="22"/>
          <w:lang w:val="uk-UA" w:eastAsia="ru-RU"/>
        </w:rPr>
        <w:t>ює</w:t>
      </w:r>
      <w:r w:rsidRPr="00CE3D5E">
        <w:rPr>
          <w:rFonts w:ascii="Arial" w:hAnsi="Arial" w:cs="Arial"/>
          <w:sz w:val="22"/>
          <w:szCs w:val="22"/>
          <w:lang w:val="uk-UA" w:eastAsia="ru-RU"/>
        </w:rPr>
        <w:t xml:space="preserve"> додатков</w:t>
      </w:r>
      <w:r w:rsidR="00756F40">
        <w:rPr>
          <w:rFonts w:ascii="Arial" w:hAnsi="Arial" w:cs="Arial"/>
          <w:sz w:val="22"/>
          <w:szCs w:val="22"/>
          <w:lang w:val="uk-UA" w:eastAsia="ru-RU"/>
        </w:rPr>
        <w:t>і</w:t>
      </w:r>
      <w:r w:rsidRPr="00CE3D5E">
        <w:rPr>
          <w:rFonts w:ascii="Arial" w:hAnsi="Arial" w:cs="Arial"/>
          <w:sz w:val="22"/>
          <w:szCs w:val="22"/>
          <w:lang w:val="uk-UA" w:eastAsia="ru-RU"/>
        </w:rPr>
        <w:t xml:space="preserve"> доход</w:t>
      </w:r>
      <w:r w:rsidR="00756F40">
        <w:rPr>
          <w:rFonts w:ascii="Arial" w:hAnsi="Arial" w:cs="Arial"/>
          <w:sz w:val="22"/>
          <w:szCs w:val="22"/>
          <w:lang w:val="uk-UA" w:eastAsia="ru-RU"/>
        </w:rPr>
        <w:t>и</w:t>
      </w:r>
      <w:r w:rsidRPr="00CE3D5E">
        <w:rPr>
          <w:rFonts w:ascii="Arial" w:hAnsi="Arial" w:cs="Arial"/>
          <w:sz w:val="22"/>
          <w:szCs w:val="22"/>
          <w:lang w:val="uk-UA" w:eastAsia="ru-RU"/>
        </w:rPr>
        <w:t xml:space="preserve"> у твердій валюті і захи</w:t>
      </w:r>
      <w:r w:rsidR="00756F40">
        <w:rPr>
          <w:rFonts w:ascii="Arial" w:hAnsi="Arial" w:cs="Arial"/>
          <w:sz w:val="22"/>
          <w:szCs w:val="22"/>
          <w:lang w:val="uk-UA" w:eastAsia="ru-RU"/>
        </w:rPr>
        <w:t>щає</w:t>
      </w:r>
      <w:r w:rsidRPr="00CE3D5E">
        <w:rPr>
          <w:rFonts w:ascii="Arial" w:hAnsi="Arial" w:cs="Arial"/>
          <w:sz w:val="22"/>
          <w:szCs w:val="22"/>
          <w:lang w:val="uk-UA" w:eastAsia="ru-RU"/>
        </w:rPr>
        <w:t xml:space="preserve"> Компані</w:t>
      </w:r>
      <w:r w:rsidR="00756F40">
        <w:rPr>
          <w:rFonts w:ascii="Arial" w:hAnsi="Arial" w:cs="Arial"/>
          <w:sz w:val="22"/>
          <w:szCs w:val="22"/>
          <w:lang w:val="uk-UA" w:eastAsia="ru-RU"/>
        </w:rPr>
        <w:t>ю</w:t>
      </w:r>
      <w:r w:rsidRPr="00CE3D5E">
        <w:rPr>
          <w:rFonts w:ascii="Arial" w:hAnsi="Arial" w:cs="Arial"/>
          <w:sz w:val="22"/>
          <w:szCs w:val="22"/>
          <w:lang w:val="uk-UA" w:eastAsia="ru-RU"/>
        </w:rPr>
        <w:t xml:space="preserve"> від </w:t>
      </w:r>
      <w:proofErr w:type="spellStart"/>
      <w:r w:rsidRPr="00CE3D5E">
        <w:rPr>
          <w:rFonts w:ascii="Arial" w:hAnsi="Arial" w:cs="Arial"/>
          <w:sz w:val="22"/>
          <w:szCs w:val="22"/>
          <w:lang w:val="uk-UA" w:eastAsia="ru-RU"/>
        </w:rPr>
        <w:t>волатильності</w:t>
      </w:r>
      <w:proofErr w:type="spellEnd"/>
      <w:r w:rsidRPr="00CE3D5E">
        <w:rPr>
          <w:rFonts w:ascii="Arial" w:hAnsi="Arial" w:cs="Arial"/>
          <w:sz w:val="22"/>
          <w:szCs w:val="22"/>
          <w:lang w:val="uk-UA" w:eastAsia="ru-RU"/>
        </w:rPr>
        <w:t xml:space="preserve"> місцевої валюти.</w:t>
      </w:r>
    </w:p>
    <w:p w:rsidR="00A44A36" w:rsidRPr="00356595" w:rsidRDefault="00A44A36" w:rsidP="00A44A36">
      <w:pPr>
        <w:pStyle w:val="Default"/>
        <w:jc w:val="both"/>
        <w:rPr>
          <w:b/>
          <w:bCs/>
          <w:color w:val="auto"/>
          <w:sz w:val="22"/>
          <w:szCs w:val="22"/>
          <w:lang w:val="uk-UA"/>
        </w:rPr>
      </w:pPr>
    </w:p>
    <w:p w:rsidR="00A44A36" w:rsidRPr="00356595" w:rsidRDefault="008946A1" w:rsidP="00A44A36">
      <w:pPr>
        <w:pStyle w:val="Default"/>
        <w:jc w:val="both"/>
        <w:rPr>
          <w:b/>
          <w:bCs/>
          <w:color w:val="auto"/>
          <w:sz w:val="22"/>
          <w:szCs w:val="22"/>
          <w:lang w:val="uk-UA"/>
        </w:rPr>
      </w:pPr>
      <w:r w:rsidRPr="00356595">
        <w:rPr>
          <w:b/>
          <w:bCs/>
          <w:color w:val="auto"/>
          <w:sz w:val="22"/>
          <w:szCs w:val="22"/>
          <w:lang w:val="uk-UA"/>
        </w:rPr>
        <w:t>Р</w:t>
      </w:r>
      <w:r w:rsidR="00C279CF">
        <w:rPr>
          <w:b/>
          <w:bCs/>
          <w:color w:val="auto"/>
          <w:sz w:val="22"/>
          <w:szCs w:val="22"/>
          <w:lang w:val="uk-UA"/>
        </w:rPr>
        <w:t>ослинництво</w:t>
      </w:r>
    </w:p>
    <w:p w:rsidR="00374CC9" w:rsidRPr="00374CC9" w:rsidRDefault="00374CC9" w:rsidP="00A44A36">
      <w:pPr>
        <w:pStyle w:val="Default"/>
        <w:jc w:val="both"/>
        <w:rPr>
          <w:color w:val="auto"/>
          <w:sz w:val="22"/>
          <w:szCs w:val="22"/>
        </w:rPr>
      </w:pPr>
    </w:p>
    <w:p w:rsidR="00374CC9" w:rsidRPr="00C279CF" w:rsidRDefault="00374CC9" w:rsidP="00A44A36">
      <w:pPr>
        <w:pStyle w:val="Default"/>
        <w:jc w:val="both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Приблизно 97 тис. г</w:t>
      </w:r>
      <w:r w:rsidRPr="00374CC9">
        <w:rPr>
          <w:color w:val="auto"/>
          <w:sz w:val="22"/>
          <w:szCs w:val="22"/>
          <w:lang w:val="uk-UA"/>
        </w:rPr>
        <w:t>а земель засіяні озимими культурами (озимою пшеницею, ріпаком, ячменем). Це близько 27% від загальної площі земель, задіяних</w:t>
      </w:r>
      <w:r w:rsidR="001161A2">
        <w:rPr>
          <w:color w:val="auto"/>
          <w:sz w:val="22"/>
          <w:szCs w:val="22"/>
          <w:lang w:val="uk-UA"/>
        </w:rPr>
        <w:t xml:space="preserve"> у</w:t>
      </w:r>
      <w:r w:rsidRPr="00374CC9">
        <w:rPr>
          <w:color w:val="auto"/>
          <w:sz w:val="22"/>
          <w:szCs w:val="22"/>
          <w:lang w:val="uk-UA"/>
        </w:rPr>
        <w:t xml:space="preserve"> рослинницькому сегменті діяльності компанії в 2016 р</w:t>
      </w:r>
      <w:r>
        <w:rPr>
          <w:color w:val="auto"/>
          <w:sz w:val="22"/>
          <w:szCs w:val="22"/>
          <w:lang w:val="uk-UA"/>
        </w:rPr>
        <w:t>. (близько 355 тис. г</w:t>
      </w:r>
      <w:r w:rsidRPr="00374CC9">
        <w:rPr>
          <w:color w:val="auto"/>
          <w:sz w:val="22"/>
          <w:szCs w:val="22"/>
          <w:lang w:val="uk-UA"/>
        </w:rPr>
        <w:t>а). На сьогодні всі культури перебувають у хорошому стані, тому в 2016 р</w:t>
      </w:r>
      <w:r>
        <w:rPr>
          <w:color w:val="auto"/>
          <w:sz w:val="22"/>
          <w:szCs w:val="22"/>
          <w:lang w:val="uk-UA"/>
        </w:rPr>
        <w:t>.</w:t>
      </w:r>
      <w:r w:rsidRPr="00374CC9">
        <w:rPr>
          <w:color w:val="auto"/>
          <w:sz w:val="22"/>
          <w:szCs w:val="22"/>
          <w:lang w:val="uk-UA"/>
        </w:rPr>
        <w:t xml:space="preserve"> МХП очікує хороший урожай озимих культур.</w:t>
      </w:r>
    </w:p>
    <w:p w:rsidR="006D66EF" w:rsidRPr="00356595" w:rsidRDefault="006D66EF" w:rsidP="00A44A36">
      <w:pPr>
        <w:pStyle w:val="Default"/>
        <w:jc w:val="both"/>
        <w:rPr>
          <w:color w:val="FF0000"/>
          <w:sz w:val="22"/>
          <w:szCs w:val="22"/>
          <w:lang w:val="uk-UA"/>
        </w:rPr>
      </w:pPr>
    </w:p>
    <w:p w:rsidR="00A44A36" w:rsidRPr="00356595" w:rsidRDefault="00C279CF" w:rsidP="00A44A36">
      <w:pPr>
        <w:pStyle w:val="Default"/>
        <w:jc w:val="both"/>
        <w:rPr>
          <w:color w:val="auto"/>
          <w:sz w:val="22"/>
          <w:szCs w:val="22"/>
          <w:lang w:val="uk-UA"/>
        </w:rPr>
      </w:pPr>
      <w:r w:rsidRPr="00997865">
        <w:rPr>
          <w:color w:val="auto"/>
          <w:sz w:val="22"/>
          <w:szCs w:val="22"/>
          <w:lang w:val="uk-UA"/>
        </w:rPr>
        <w:t>Весняна посівна кампанія 201</w:t>
      </w:r>
      <w:r w:rsidR="00374CC9">
        <w:rPr>
          <w:color w:val="auto"/>
          <w:sz w:val="22"/>
          <w:szCs w:val="22"/>
          <w:lang w:val="uk-UA"/>
        </w:rPr>
        <w:t>6</w:t>
      </w:r>
      <w:r w:rsidRPr="00997865">
        <w:rPr>
          <w:color w:val="auto"/>
          <w:sz w:val="22"/>
          <w:szCs w:val="22"/>
          <w:lang w:val="uk-UA"/>
        </w:rPr>
        <w:t xml:space="preserve"> р. на даний момент </w:t>
      </w:r>
      <w:r>
        <w:rPr>
          <w:color w:val="auto"/>
          <w:sz w:val="22"/>
          <w:szCs w:val="22"/>
          <w:lang w:val="uk-UA"/>
        </w:rPr>
        <w:t xml:space="preserve">почалася без значних змін у структурі посівів. </w:t>
      </w:r>
    </w:p>
    <w:p w:rsidR="00A44A36" w:rsidRPr="00356595" w:rsidRDefault="00C279CF" w:rsidP="00A44A36">
      <w:pPr>
        <w:pStyle w:val="c3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Інша сільськогосподарська діяльність</w:t>
      </w:r>
    </w:p>
    <w:tbl>
      <w:tblPr>
        <w:tblW w:w="65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6"/>
        <w:gridCol w:w="816"/>
        <w:gridCol w:w="976"/>
        <w:gridCol w:w="1112"/>
        <w:gridCol w:w="236"/>
      </w:tblGrid>
      <w:tr w:rsidR="00A44A36" w:rsidRPr="00356595" w:rsidTr="00374CC9">
        <w:trPr>
          <w:trHeight w:val="510"/>
        </w:trPr>
        <w:tc>
          <w:tcPr>
            <w:tcW w:w="3360" w:type="dxa"/>
            <w:tcBorders>
              <w:bottom w:val="single" w:sz="12" w:space="0" w:color="auto"/>
            </w:tcBorders>
            <w:noWrap/>
            <w:vAlign w:val="bottom"/>
          </w:tcPr>
          <w:p w:rsidR="00A44A36" w:rsidRPr="00356595" w:rsidRDefault="00C279CF" w:rsidP="00BA7F28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b/>
                <w:bCs/>
                <w:lang w:val="uk-UA"/>
              </w:rPr>
              <w:t>Продукти</w:t>
            </w:r>
            <w:r w:rsidR="008946A1" w:rsidRPr="00356595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м'ясопереробки</w:t>
            </w:r>
          </w:p>
        </w:tc>
        <w:tc>
          <w:tcPr>
            <w:tcW w:w="832" w:type="dxa"/>
            <w:tcBorders>
              <w:bottom w:val="single" w:sz="12" w:space="0" w:color="auto"/>
            </w:tcBorders>
            <w:vAlign w:val="bottom"/>
          </w:tcPr>
          <w:p w:rsidR="00A44A36" w:rsidRPr="00356595" w:rsidRDefault="00A44A36" w:rsidP="00374CC9">
            <w:pPr>
              <w:jc w:val="right"/>
              <w:rPr>
                <w:rFonts w:ascii="Arial" w:hAnsi="Arial" w:cs="Arial"/>
                <w:b/>
                <w:bCs/>
                <w:lang w:val="uk-UA"/>
              </w:rPr>
            </w:pPr>
            <w:r w:rsidRPr="00356595">
              <w:rPr>
                <w:rFonts w:ascii="Arial" w:hAnsi="Arial" w:cs="Arial"/>
                <w:b/>
                <w:bCs/>
                <w:lang w:val="uk-UA"/>
              </w:rPr>
              <w:t>1</w:t>
            </w:r>
            <w:r w:rsidR="008946A1" w:rsidRPr="00356595">
              <w:rPr>
                <w:rFonts w:ascii="Arial" w:hAnsi="Arial" w:cs="Arial"/>
                <w:b/>
                <w:bCs/>
                <w:lang w:val="uk-UA"/>
              </w:rPr>
              <w:t xml:space="preserve"> кв.</w:t>
            </w:r>
            <w:r w:rsidRPr="00356595">
              <w:rPr>
                <w:rFonts w:ascii="Arial" w:hAnsi="Arial" w:cs="Arial"/>
                <w:b/>
                <w:bCs/>
                <w:lang w:val="uk-UA"/>
              </w:rPr>
              <w:t xml:space="preserve">     201</w:t>
            </w:r>
            <w:r w:rsidR="00374CC9">
              <w:rPr>
                <w:rFonts w:ascii="Arial" w:hAnsi="Arial" w:cs="Arial"/>
                <w:b/>
                <w:bCs/>
                <w:lang w:val="uk-UA"/>
              </w:rPr>
              <w:t>6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A36" w:rsidRPr="00356595" w:rsidRDefault="00A44A36" w:rsidP="00374CC9">
            <w:pPr>
              <w:jc w:val="right"/>
              <w:rPr>
                <w:rFonts w:ascii="Arial" w:hAnsi="Arial" w:cs="Arial"/>
                <w:b/>
                <w:bCs/>
                <w:lang w:val="uk-UA"/>
              </w:rPr>
            </w:pPr>
            <w:r w:rsidRPr="00356595">
              <w:rPr>
                <w:rFonts w:ascii="Arial" w:hAnsi="Arial" w:cs="Arial"/>
                <w:b/>
                <w:bCs/>
                <w:lang w:val="uk-UA"/>
              </w:rPr>
              <w:t>1</w:t>
            </w:r>
            <w:r w:rsidR="008946A1" w:rsidRPr="00356595">
              <w:rPr>
                <w:rFonts w:ascii="Arial" w:hAnsi="Arial" w:cs="Arial"/>
                <w:b/>
                <w:bCs/>
                <w:lang w:val="uk-UA"/>
              </w:rPr>
              <w:t xml:space="preserve"> кв.</w:t>
            </w:r>
            <w:r w:rsidRPr="00356595">
              <w:rPr>
                <w:rFonts w:ascii="Arial" w:hAnsi="Arial" w:cs="Arial"/>
                <w:b/>
                <w:bCs/>
                <w:lang w:val="uk-UA"/>
              </w:rPr>
              <w:t xml:space="preserve"> 201</w:t>
            </w:r>
            <w:r w:rsidR="00374CC9">
              <w:rPr>
                <w:rFonts w:ascii="Arial" w:hAnsi="Arial" w:cs="Arial"/>
                <w:b/>
                <w:bCs/>
                <w:lang w:val="uk-UA"/>
              </w:rPr>
              <w:t>5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A36" w:rsidRPr="00356595" w:rsidRDefault="00A44A36" w:rsidP="00374CC9">
            <w:pPr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 w:rsidRPr="00356595">
              <w:rPr>
                <w:rFonts w:ascii="Arial" w:hAnsi="Arial" w:cs="Arial"/>
                <w:i/>
                <w:iCs/>
                <w:lang w:val="uk-UA"/>
              </w:rPr>
              <w:t xml:space="preserve">% 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A36" w:rsidRPr="00356595" w:rsidRDefault="00A44A36" w:rsidP="00BA7F28">
            <w:pPr>
              <w:jc w:val="right"/>
              <w:rPr>
                <w:rFonts w:ascii="Arial" w:hAnsi="Arial" w:cs="Arial"/>
                <w:lang w:val="uk-UA"/>
              </w:rPr>
            </w:pPr>
          </w:p>
        </w:tc>
      </w:tr>
      <w:tr w:rsidR="00374CC9" w:rsidRPr="00356595" w:rsidTr="00374CC9">
        <w:trPr>
          <w:trHeight w:val="255"/>
        </w:trPr>
        <w:tc>
          <w:tcPr>
            <w:tcW w:w="3360" w:type="dxa"/>
            <w:noWrap/>
            <w:vAlign w:val="bottom"/>
          </w:tcPr>
          <w:p w:rsidR="00374CC9" w:rsidRPr="00997865" w:rsidRDefault="00374CC9" w:rsidP="00BA7F28">
            <w:pPr>
              <w:rPr>
                <w:rFonts w:ascii="Arial" w:hAnsi="Arial" w:cs="Arial"/>
                <w:lang w:val="uk-UA"/>
              </w:rPr>
            </w:pPr>
            <w:r w:rsidRPr="00997865">
              <w:rPr>
                <w:rFonts w:ascii="Arial" w:hAnsi="Arial" w:cs="Arial"/>
                <w:lang w:val="uk-UA"/>
              </w:rPr>
              <w:t>Обсяг продажів третім особам, тонн</w:t>
            </w:r>
          </w:p>
        </w:tc>
        <w:tc>
          <w:tcPr>
            <w:tcW w:w="832" w:type="dxa"/>
            <w:vAlign w:val="center"/>
          </w:tcPr>
          <w:p w:rsidR="00374CC9" w:rsidRPr="00C7067E" w:rsidRDefault="00374CC9" w:rsidP="002676D6">
            <w:pPr>
              <w:jc w:val="center"/>
              <w:rPr>
                <w:rFonts w:ascii="Arial" w:hAnsi="Arial" w:cs="Arial"/>
              </w:rPr>
            </w:pPr>
            <w:r w:rsidRPr="00707B5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8 340</w:t>
            </w:r>
          </w:p>
        </w:tc>
        <w:tc>
          <w:tcPr>
            <w:tcW w:w="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CC9" w:rsidRPr="00C7067E" w:rsidRDefault="00374CC9" w:rsidP="002676D6">
            <w:pPr>
              <w:jc w:val="center"/>
              <w:rPr>
                <w:rFonts w:ascii="Arial" w:hAnsi="Arial" w:cs="Arial"/>
              </w:rPr>
            </w:pPr>
            <w:r w:rsidRPr="00D13147"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</w:rPr>
              <w:t>5 280</w:t>
            </w:r>
          </w:p>
        </w:tc>
        <w:tc>
          <w:tcPr>
            <w:tcW w:w="1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CC9" w:rsidRPr="00D13147" w:rsidRDefault="00374CC9" w:rsidP="002676D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</w:t>
            </w:r>
            <w:r w:rsidRPr="00D13147">
              <w:rPr>
                <w:rFonts w:ascii="Arial" w:hAnsi="Arial" w:cs="Arial"/>
                <w:i/>
                <w:iCs/>
              </w:rPr>
              <w:t>%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4CC9" w:rsidRPr="00356595" w:rsidRDefault="00374CC9" w:rsidP="00BA7F28">
            <w:pPr>
              <w:rPr>
                <w:rFonts w:ascii="Arial" w:hAnsi="Arial" w:cs="Arial"/>
                <w:lang w:val="uk-UA"/>
              </w:rPr>
            </w:pPr>
          </w:p>
        </w:tc>
      </w:tr>
      <w:tr w:rsidR="00374CC9" w:rsidRPr="00356595" w:rsidTr="00374CC9">
        <w:trPr>
          <w:trHeight w:val="255"/>
        </w:trPr>
        <w:tc>
          <w:tcPr>
            <w:tcW w:w="3360" w:type="dxa"/>
            <w:noWrap/>
            <w:vAlign w:val="bottom"/>
          </w:tcPr>
          <w:p w:rsidR="00374CC9" w:rsidRPr="00997865" w:rsidRDefault="00374CC9" w:rsidP="00BA7F28">
            <w:pPr>
              <w:rPr>
                <w:rFonts w:ascii="Arial" w:hAnsi="Arial" w:cs="Arial"/>
                <w:lang w:val="uk-UA"/>
              </w:rPr>
            </w:pPr>
            <w:r w:rsidRPr="00997865">
              <w:rPr>
                <w:rFonts w:ascii="Arial" w:hAnsi="Arial" w:cs="Arial"/>
                <w:lang w:val="uk-UA"/>
              </w:rPr>
              <w:t>Ціна за 1 кг, без ПДВ, грн.</w:t>
            </w:r>
          </w:p>
        </w:tc>
        <w:tc>
          <w:tcPr>
            <w:tcW w:w="832" w:type="dxa"/>
            <w:vAlign w:val="bottom"/>
          </w:tcPr>
          <w:p w:rsidR="00374CC9" w:rsidRPr="00C7067E" w:rsidRDefault="00374CC9" w:rsidP="00267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44,91</w:t>
            </w:r>
          </w:p>
        </w:tc>
        <w:tc>
          <w:tcPr>
            <w:tcW w:w="9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4CC9" w:rsidRPr="00D13147" w:rsidRDefault="00374CC9" w:rsidP="002676D6">
            <w:pPr>
              <w:jc w:val="center"/>
              <w:rPr>
                <w:rFonts w:ascii="Arial" w:hAnsi="Arial" w:cs="Arial"/>
                <w:lang w:val="en-US"/>
              </w:rPr>
            </w:pPr>
            <w:r w:rsidRPr="00D13147"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</w:rPr>
              <w:t>39,64</w:t>
            </w:r>
          </w:p>
        </w:tc>
        <w:tc>
          <w:tcPr>
            <w:tcW w:w="11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4CC9" w:rsidRPr="00D13147" w:rsidRDefault="00374CC9" w:rsidP="002676D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   </w:t>
            </w:r>
            <w:r>
              <w:rPr>
                <w:rFonts w:ascii="Arial" w:hAnsi="Arial" w:cs="Arial"/>
                <w:i/>
                <w:iCs/>
              </w:rPr>
              <w:t>13</w:t>
            </w:r>
            <w:r w:rsidRPr="00D13147">
              <w:rPr>
                <w:rFonts w:ascii="Arial" w:hAnsi="Arial" w:cs="Arial"/>
                <w:i/>
                <w:iCs/>
              </w:rPr>
              <w:t>%</w:t>
            </w: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4CC9" w:rsidRPr="00356595" w:rsidRDefault="00374CC9" w:rsidP="00BA7F28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374CC9" w:rsidRDefault="00374CC9" w:rsidP="00A44A36">
      <w:pPr>
        <w:pStyle w:val="c3"/>
        <w:jc w:val="both"/>
        <w:rPr>
          <w:sz w:val="22"/>
          <w:szCs w:val="22"/>
          <w:lang w:val="uk-UA"/>
        </w:rPr>
      </w:pPr>
      <w:r w:rsidRPr="00374CC9">
        <w:rPr>
          <w:sz w:val="22"/>
          <w:szCs w:val="22"/>
          <w:lang w:val="uk-UA"/>
        </w:rPr>
        <w:lastRenderedPageBreak/>
        <w:t>Обсяги продажів ковбас і готової м'ясної продукції в 1 кв. 2016 р</w:t>
      </w:r>
      <w:r>
        <w:rPr>
          <w:sz w:val="22"/>
          <w:szCs w:val="22"/>
          <w:lang w:val="uk-UA"/>
        </w:rPr>
        <w:t>.</w:t>
      </w:r>
      <w:r w:rsidRPr="00374CC9">
        <w:rPr>
          <w:sz w:val="22"/>
          <w:szCs w:val="22"/>
          <w:lang w:val="uk-UA"/>
        </w:rPr>
        <w:t xml:space="preserve"> істотно зросли до 8 340 т</w:t>
      </w:r>
      <w:r w:rsidR="001161A2">
        <w:rPr>
          <w:sz w:val="22"/>
          <w:szCs w:val="22"/>
          <w:lang w:val="uk-UA"/>
        </w:rPr>
        <w:t>онн, в порівнянні з 5 280 тонн у</w:t>
      </w:r>
      <w:r w:rsidRPr="00374CC9">
        <w:rPr>
          <w:sz w:val="22"/>
          <w:szCs w:val="22"/>
          <w:lang w:val="uk-UA"/>
        </w:rPr>
        <w:t xml:space="preserve"> 1 кв. 2015 р</w:t>
      </w:r>
      <w:r>
        <w:rPr>
          <w:sz w:val="22"/>
          <w:szCs w:val="22"/>
          <w:lang w:val="uk-UA"/>
        </w:rPr>
        <w:t>.</w:t>
      </w:r>
      <w:r w:rsidR="001161A2">
        <w:rPr>
          <w:sz w:val="22"/>
          <w:szCs w:val="22"/>
          <w:lang w:val="uk-UA"/>
        </w:rPr>
        <w:t xml:space="preserve"> внаслідок</w:t>
      </w:r>
      <w:r w:rsidRPr="00374CC9">
        <w:rPr>
          <w:sz w:val="22"/>
          <w:szCs w:val="22"/>
          <w:lang w:val="uk-UA"/>
        </w:rPr>
        <w:t xml:space="preserve"> нової стратегії просування продукту і рекламної кампанії не тільки </w:t>
      </w:r>
      <w:r w:rsidR="00D542FD">
        <w:rPr>
          <w:sz w:val="22"/>
          <w:szCs w:val="22"/>
          <w:lang w:val="uk-UA"/>
        </w:rPr>
        <w:t>асортименту продукції, але і</w:t>
      </w:r>
      <w:r w:rsidRPr="00374CC9">
        <w:rPr>
          <w:sz w:val="22"/>
          <w:szCs w:val="22"/>
          <w:lang w:val="uk-UA"/>
        </w:rPr>
        <w:t xml:space="preserve"> бренду.</w:t>
      </w:r>
    </w:p>
    <w:p w:rsidR="00406414" w:rsidRDefault="00374CC9" w:rsidP="00A44A36">
      <w:pPr>
        <w:pStyle w:val="c3"/>
        <w:jc w:val="both"/>
        <w:rPr>
          <w:sz w:val="22"/>
          <w:szCs w:val="22"/>
          <w:lang w:val="uk-UA"/>
        </w:rPr>
      </w:pPr>
      <w:r w:rsidRPr="00374CC9">
        <w:rPr>
          <w:sz w:val="22"/>
          <w:szCs w:val="22"/>
          <w:lang w:val="uk-UA"/>
        </w:rPr>
        <w:t>Середня ціна на ковбасні вироби і готову м'ясну продукцію в 1 кв. 2016 р</w:t>
      </w:r>
      <w:r>
        <w:rPr>
          <w:sz w:val="22"/>
          <w:szCs w:val="22"/>
          <w:lang w:val="uk-UA"/>
        </w:rPr>
        <w:t>.</w:t>
      </w:r>
      <w:r w:rsidRPr="00374CC9">
        <w:rPr>
          <w:sz w:val="22"/>
          <w:szCs w:val="22"/>
          <w:lang w:val="uk-UA"/>
        </w:rPr>
        <w:t xml:space="preserve"> зросла на 13% до 44,91 грн. за 1 кг без урахування ПДВ</w:t>
      </w:r>
      <w:r>
        <w:rPr>
          <w:sz w:val="22"/>
          <w:szCs w:val="22"/>
          <w:lang w:val="uk-UA"/>
        </w:rPr>
        <w:t>,</w:t>
      </w:r>
      <w:r w:rsidRPr="00374CC9">
        <w:rPr>
          <w:sz w:val="22"/>
          <w:szCs w:val="22"/>
          <w:lang w:val="uk-UA"/>
        </w:rPr>
        <w:t xml:space="preserve"> в порівнянні з 39,64 грн. за 1 кг без урахування ПДВ в 1 кв. 2015 р</w:t>
      </w:r>
      <w:r>
        <w:rPr>
          <w:sz w:val="22"/>
          <w:szCs w:val="22"/>
          <w:lang w:val="uk-UA"/>
        </w:rPr>
        <w:t>.</w:t>
      </w:r>
      <w:r w:rsidR="00A830D6">
        <w:rPr>
          <w:sz w:val="22"/>
          <w:szCs w:val="22"/>
          <w:lang w:val="uk-UA"/>
        </w:rPr>
        <w:t xml:space="preserve"> здебільшого внаслідок зростання</w:t>
      </w:r>
      <w:r w:rsidRPr="00374CC9">
        <w:rPr>
          <w:sz w:val="22"/>
          <w:szCs w:val="22"/>
          <w:lang w:val="uk-UA"/>
        </w:rPr>
        <w:t xml:space="preserve"> ціни на курятину.</w:t>
      </w:r>
    </w:p>
    <w:p w:rsidR="000C1EC6" w:rsidRDefault="000C1EC6" w:rsidP="000C1EC6">
      <w:pPr>
        <w:rPr>
          <w:rFonts w:ascii="Arial" w:eastAsia="Times New Roman" w:hAnsi="Arial" w:cs="Arial"/>
          <w:lang w:val="uk-UA" w:eastAsia="en-GB"/>
        </w:rPr>
      </w:pPr>
      <w:r w:rsidRPr="000C1EC6">
        <w:rPr>
          <w:rFonts w:ascii="Arial" w:eastAsia="Times New Roman" w:hAnsi="Arial" w:cs="Arial"/>
          <w:b/>
          <w:lang w:val="uk-UA" w:eastAsia="en-GB"/>
        </w:rPr>
        <w:t>Наступн</w:t>
      </w:r>
      <w:r w:rsidR="00D542FD">
        <w:rPr>
          <w:rFonts w:ascii="Arial" w:eastAsia="Times New Roman" w:hAnsi="Arial" w:cs="Arial"/>
          <w:b/>
          <w:lang w:val="uk-UA" w:eastAsia="en-GB"/>
        </w:rPr>
        <w:t>ий</w:t>
      </w:r>
      <w:r w:rsidRPr="000C1EC6">
        <w:rPr>
          <w:rFonts w:ascii="Arial" w:eastAsia="Times New Roman" w:hAnsi="Arial" w:cs="Arial"/>
          <w:b/>
          <w:lang w:val="uk-UA" w:eastAsia="en-GB"/>
        </w:rPr>
        <w:t xml:space="preserve"> прес-реліз: </w:t>
      </w:r>
      <w:r w:rsidRPr="000C1EC6">
        <w:rPr>
          <w:rFonts w:ascii="Arial" w:eastAsia="Times New Roman" w:hAnsi="Arial" w:cs="Arial"/>
          <w:lang w:val="uk-UA" w:eastAsia="en-GB"/>
        </w:rPr>
        <w:t>фінанс</w:t>
      </w:r>
      <w:r w:rsidR="00374CC9">
        <w:rPr>
          <w:rFonts w:ascii="Arial" w:eastAsia="Times New Roman" w:hAnsi="Arial" w:cs="Arial"/>
          <w:lang w:val="uk-UA" w:eastAsia="en-GB"/>
        </w:rPr>
        <w:t>ові результати за 1 квартал 2016</w:t>
      </w:r>
      <w:r w:rsidRPr="000C1EC6">
        <w:rPr>
          <w:rFonts w:ascii="Arial" w:eastAsia="Times New Roman" w:hAnsi="Arial" w:cs="Arial"/>
          <w:lang w:val="uk-UA" w:eastAsia="en-GB"/>
        </w:rPr>
        <w:t xml:space="preserve"> р. будуть опубліковані </w:t>
      </w:r>
      <w:r w:rsidR="00374CC9">
        <w:rPr>
          <w:rFonts w:ascii="Arial" w:eastAsia="Times New Roman" w:hAnsi="Arial" w:cs="Arial"/>
          <w:lang w:val="uk-UA" w:eastAsia="en-GB"/>
        </w:rPr>
        <w:t>19 травня 2016</w:t>
      </w:r>
      <w:r w:rsidRPr="000C1EC6">
        <w:rPr>
          <w:rFonts w:ascii="Arial" w:eastAsia="Times New Roman" w:hAnsi="Arial" w:cs="Arial"/>
          <w:lang w:val="uk-UA" w:eastAsia="en-GB"/>
        </w:rPr>
        <w:t xml:space="preserve"> р.</w:t>
      </w:r>
    </w:p>
    <w:p w:rsidR="000C1EC6" w:rsidRPr="00997865" w:rsidRDefault="00A830D6" w:rsidP="000C1EC6">
      <w:pPr>
        <w:rPr>
          <w:rFonts w:ascii="Arial" w:hAnsi="Arial" w:cs="Arial"/>
          <w:bCs/>
          <w:lang w:val="uk-UA" w:eastAsia="ar-SA"/>
        </w:rPr>
      </w:pPr>
      <w:r>
        <w:rPr>
          <w:rFonts w:ascii="Arial" w:hAnsi="Arial" w:cs="Arial"/>
          <w:bCs/>
          <w:lang w:val="uk-UA" w:eastAsia="ar-SA"/>
        </w:rPr>
        <w:t>За додатковою інформацією</w:t>
      </w:r>
      <w:r w:rsidR="000C1EC6" w:rsidRPr="00997865">
        <w:rPr>
          <w:rFonts w:ascii="Arial" w:hAnsi="Arial" w:cs="Arial"/>
          <w:bCs/>
          <w:lang w:val="uk-UA" w:eastAsia="ar-SA"/>
        </w:rPr>
        <w:t xml:space="preserve"> звертайтеся: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3060"/>
      </w:tblGrid>
      <w:tr w:rsidR="000C1EC6" w:rsidRPr="00D542FD" w:rsidTr="00374CC9">
        <w:trPr>
          <w:trHeight w:val="1380"/>
        </w:trPr>
        <w:tc>
          <w:tcPr>
            <w:tcW w:w="5328" w:type="dxa"/>
          </w:tcPr>
          <w:p w:rsidR="000C1EC6" w:rsidRPr="00997865" w:rsidRDefault="000C1EC6" w:rsidP="00BA7F28">
            <w:pPr>
              <w:rPr>
                <w:rFonts w:ascii="Arial" w:hAnsi="Arial" w:cs="Arial"/>
                <w:b/>
                <w:bCs/>
                <w:lang w:val="uk-UA"/>
              </w:rPr>
            </w:pPr>
            <w:r w:rsidRPr="00997865">
              <w:rPr>
                <w:rFonts w:ascii="Arial" w:hAnsi="Arial" w:cs="Arial"/>
                <w:b/>
                <w:bCs/>
                <w:lang w:val="uk-UA"/>
              </w:rPr>
              <w:t>По зв’язкам з інвесторами і ЗМІ:</w:t>
            </w:r>
          </w:p>
          <w:p w:rsidR="000C1EC6" w:rsidRPr="00997865" w:rsidRDefault="000C1EC6" w:rsidP="00BA7F28">
            <w:pPr>
              <w:rPr>
                <w:rFonts w:ascii="Arial" w:hAnsi="Arial" w:cs="Arial"/>
                <w:lang w:val="uk-UA"/>
              </w:rPr>
            </w:pPr>
            <w:r w:rsidRPr="00997865">
              <w:rPr>
                <w:rFonts w:ascii="Arial" w:hAnsi="Arial" w:cs="Arial"/>
                <w:lang w:val="uk-UA"/>
              </w:rPr>
              <w:t xml:space="preserve">Анастасія </w:t>
            </w:r>
            <w:proofErr w:type="spellStart"/>
            <w:r w:rsidRPr="00997865">
              <w:rPr>
                <w:rFonts w:ascii="Arial" w:hAnsi="Arial" w:cs="Arial"/>
                <w:lang w:val="uk-UA"/>
              </w:rPr>
              <w:t>Соботюк</w:t>
            </w:r>
            <w:proofErr w:type="spellEnd"/>
            <w:r w:rsidRPr="00997865">
              <w:rPr>
                <w:rFonts w:ascii="Arial" w:hAnsi="Arial" w:cs="Arial"/>
                <w:lang w:val="uk-UA"/>
              </w:rPr>
              <w:t xml:space="preserve"> (Київ) </w:t>
            </w:r>
          </w:p>
        </w:tc>
        <w:tc>
          <w:tcPr>
            <w:tcW w:w="3060" w:type="dxa"/>
          </w:tcPr>
          <w:p w:rsidR="000C1EC6" w:rsidRPr="00997865" w:rsidRDefault="000C1EC6" w:rsidP="00BA7F28">
            <w:pPr>
              <w:rPr>
                <w:rFonts w:ascii="Arial" w:hAnsi="Arial" w:cs="Arial"/>
                <w:lang w:val="uk-UA"/>
              </w:rPr>
            </w:pPr>
          </w:p>
          <w:p w:rsidR="000C1EC6" w:rsidRPr="00997865" w:rsidRDefault="000C1EC6" w:rsidP="00BA7F28">
            <w:pPr>
              <w:rPr>
                <w:rFonts w:ascii="Arial" w:hAnsi="Arial" w:cs="Arial"/>
                <w:lang w:val="uk-UA"/>
              </w:rPr>
            </w:pPr>
            <w:r w:rsidRPr="00997865">
              <w:rPr>
                <w:rFonts w:ascii="Arial" w:hAnsi="Arial" w:cs="Arial"/>
                <w:lang w:val="uk-UA"/>
              </w:rPr>
              <w:t xml:space="preserve">+38 044 207 00 70 </w:t>
            </w:r>
          </w:p>
          <w:p w:rsidR="000C1EC6" w:rsidRPr="00997865" w:rsidRDefault="00D542FD" w:rsidP="00BA7F28">
            <w:pPr>
              <w:rPr>
                <w:rFonts w:ascii="Arial" w:hAnsi="Arial" w:cs="Arial"/>
                <w:lang w:val="uk-UA"/>
              </w:rPr>
            </w:pPr>
            <w:hyperlink r:id="rId7" w:history="1">
              <w:r w:rsidR="000C1EC6" w:rsidRPr="00997865">
                <w:rPr>
                  <w:rStyle w:val="a8"/>
                  <w:rFonts w:ascii="Arial" w:hAnsi="Arial" w:cs="Arial"/>
                  <w:lang w:val="uk-UA"/>
                </w:rPr>
                <w:t>a.sobotyuk@mhp.com.ua</w:t>
              </w:r>
            </w:hyperlink>
          </w:p>
        </w:tc>
      </w:tr>
    </w:tbl>
    <w:p w:rsidR="00C279CF" w:rsidRPr="00C279CF" w:rsidRDefault="00C279CF" w:rsidP="00C279CF">
      <w:pPr>
        <w:jc w:val="both"/>
        <w:rPr>
          <w:rFonts w:ascii="Arial" w:hAnsi="Arial" w:cs="Arial"/>
          <w:b/>
          <w:lang w:val="uk-UA"/>
        </w:rPr>
      </w:pPr>
      <w:r w:rsidRPr="00C279CF">
        <w:rPr>
          <w:rFonts w:ascii="Arial" w:hAnsi="Arial" w:cs="Arial"/>
          <w:b/>
          <w:lang w:val="uk-UA"/>
        </w:rPr>
        <w:t>Довідка про компанію ПАТ «Миронівський хлібопродукт»</w:t>
      </w:r>
    </w:p>
    <w:p w:rsidR="00374CC9" w:rsidRPr="00374CC9" w:rsidRDefault="00374CC9" w:rsidP="00374CC9">
      <w:pPr>
        <w:jc w:val="both"/>
        <w:rPr>
          <w:rFonts w:ascii="Arial" w:hAnsi="Arial" w:cs="Arial"/>
          <w:lang w:val="uk-UA" w:eastAsia="ru-RU"/>
        </w:rPr>
      </w:pPr>
      <w:r w:rsidRPr="00374CC9">
        <w:rPr>
          <w:rFonts w:ascii="Arial" w:hAnsi="Arial" w:cs="Arial"/>
          <w:color w:val="000000"/>
          <w:lang w:val="uk-UA" w:eastAsia="ru-RU"/>
        </w:rPr>
        <w:t xml:space="preserve">МХП – це компанія-лідер з промислового виробництва курятини в Україні з найбільшою часткою ринку і високою </w:t>
      </w:r>
      <w:proofErr w:type="spellStart"/>
      <w:r w:rsidRPr="00374CC9">
        <w:rPr>
          <w:rFonts w:ascii="Arial" w:hAnsi="Arial" w:cs="Arial"/>
          <w:color w:val="000000"/>
          <w:lang w:val="uk-UA" w:eastAsia="ru-RU"/>
        </w:rPr>
        <w:t>впізнаваністю</w:t>
      </w:r>
      <w:proofErr w:type="spellEnd"/>
      <w:r w:rsidRPr="00374CC9">
        <w:rPr>
          <w:rFonts w:ascii="Arial" w:hAnsi="Arial" w:cs="Arial"/>
          <w:color w:val="000000"/>
          <w:lang w:val="uk-UA" w:eastAsia="ru-RU"/>
        </w:rPr>
        <w:t xml:space="preserve"> бренду своїх продуктів. МХП контролює всі етапи виробництва курятини: від вирощування зернових і олійних культур, виробництва комбікормів до виробництва інкубаційних яєць та вирощування бройлерного поголів’я, переробки, збуту, дистрибуції та продажу м’яса птиці (зокрема через </w:t>
      </w:r>
      <w:r w:rsidRPr="00374CC9">
        <w:rPr>
          <w:rFonts w:ascii="Arial" w:hAnsi="Arial" w:cs="Arial"/>
          <w:color w:val="000000"/>
          <w:lang w:eastAsia="ru-RU"/>
        </w:rPr>
        <w:t> </w:t>
      </w:r>
      <w:r w:rsidRPr="00374CC9">
        <w:rPr>
          <w:rFonts w:ascii="Arial" w:hAnsi="Arial" w:cs="Arial"/>
          <w:color w:val="000000"/>
          <w:lang w:val="uk-UA" w:eastAsia="ru-RU"/>
        </w:rPr>
        <w:t xml:space="preserve">франчайзингові точки МХП). </w:t>
      </w:r>
      <w:r w:rsidRPr="00374CC9">
        <w:rPr>
          <w:rFonts w:ascii="Arial" w:hAnsi="Arial" w:cs="Arial"/>
          <w:color w:val="000000"/>
          <w:lang w:eastAsia="ru-RU"/>
        </w:rPr>
        <w:t xml:space="preserve">На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кінець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2015 р.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земельний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банк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компанії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склав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r w:rsidR="00D542FD">
        <w:rPr>
          <w:rFonts w:ascii="Arial" w:hAnsi="Arial" w:cs="Arial"/>
          <w:color w:val="000000"/>
          <w:lang w:val="uk-UA" w:eastAsia="ru-RU"/>
        </w:rPr>
        <w:t xml:space="preserve">близько </w:t>
      </w:r>
      <w:bookmarkStart w:id="0" w:name="_GoBack"/>
      <w:bookmarkEnd w:id="0"/>
      <w:r w:rsidRPr="00374CC9">
        <w:rPr>
          <w:rFonts w:ascii="Arial" w:hAnsi="Arial" w:cs="Arial"/>
          <w:color w:val="000000"/>
          <w:lang w:eastAsia="ru-RU"/>
        </w:rPr>
        <w:t>3</w:t>
      </w:r>
      <w:r w:rsidRPr="00374CC9">
        <w:rPr>
          <w:rFonts w:ascii="Arial" w:hAnsi="Arial" w:cs="Arial"/>
          <w:color w:val="000000"/>
          <w:lang w:val="uk-UA" w:eastAsia="ru-RU"/>
        </w:rPr>
        <w:t>7</w:t>
      </w:r>
      <w:r w:rsidRPr="00374CC9">
        <w:rPr>
          <w:rFonts w:ascii="Arial" w:hAnsi="Arial" w:cs="Arial"/>
          <w:color w:val="000000"/>
          <w:lang w:eastAsia="ru-RU"/>
        </w:rPr>
        <w:t xml:space="preserve">0 тис. </w:t>
      </w:r>
      <w:proofErr w:type="gramStart"/>
      <w:r w:rsidRPr="00374CC9">
        <w:rPr>
          <w:rFonts w:ascii="Arial" w:hAnsi="Arial" w:cs="Arial"/>
          <w:color w:val="000000"/>
          <w:lang w:eastAsia="ru-RU"/>
        </w:rPr>
        <w:t>г</w:t>
      </w:r>
      <w:proofErr w:type="gramEnd"/>
      <w:r w:rsidRPr="00374CC9">
        <w:rPr>
          <w:rFonts w:ascii="Arial" w:hAnsi="Arial" w:cs="Arial"/>
          <w:color w:val="000000"/>
          <w:lang w:eastAsia="ru-RU"/>
        </w:rPr>
        <w:t xml:space="preserve">а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землі</w:t>
      </w:r>
      <w:proofErr w:type="spellEnd"/>
      <w:r w:rsidRPr="00374CC9">
        <w:rPr>
          <w:rFonts w:ascii="Arial" w:hAnsi="Arial" w:cs="Arial"/>
          <w:color w:val="000000"/>
          <w:lang w:eastAsia="ru-RU"/>
        </w:rPr>
        <w:t>.</w:t>
      </w:r>
    </w:p>
    <w:p w:rsidR="00374CC9" w:rsidRPr="00374CC9" w:rsidRDefault="00374CC9" w:rsidP="00374CC9">
      <w:pPr>
        <w:jc w:val="both"/>
        <w:rPr>
          <w:rFonts w:ascii="Arial" w:hAnsi="Arial" w:cs="Arial"/>
          <w:lang w:val="uk-UA" w:eastAsia="ru-RU"/>
        </w:rPr>
      </w:pPr>
      <w:r w:rsidRPr="00374CC9">
        <w:rPr>
          <w:rFonts w:ascii="Arial" w:hAnsi="Arial" w:cs="Arial"/>
          <w:color w:val="000000"/>
          <w:lang w:eastAsia="ru-RU"/>
        </w:rPr>
        <w:t xml:space="preserve">Вертикальна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інтеграція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зменшує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залежність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МХП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від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постачальників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і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цін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на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сировину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.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Крім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економічної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ефективності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, вертикальна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інтеграція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дозволяє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МХП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втілювати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сувору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політику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біобезпеки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,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контролювати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якість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сировини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і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кінцеву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якість</w:t>
      </w:r>
      <w:proofErr w:type="spellEnd"/>
      <w:r w:rsidRPr="00374CC9">
        <w:rPr>
          <w:rFonts w:ascii="Arial" w:hAnsi="Arial" w:cs="Arial"/>
          <w:color w:val="000000"/>
          <w:lang w:val="uk-UA" w:eastAsia="ru-RU"/>
        </w:rPr>
        <w:t>, а також</w:t>
      </w:r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безпечність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продукції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до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точок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продажу. Для </w:t>
      </w:r>
      <w:proofErr w:type="spellStart"/>
      <w:proofErr w:type="gramStart"/>
      <w:r w:rsidRPr="00374CC9">
        <w:rPr>
          <w:rFonts w:ascii="Arial" w:hAnsi="Arial" w:cs="Arial"/>
          <w:color w:val="000000"/>
          <w:lang w:eastAsia="ru-RU"/>
        </w:rPr>
        <w:t>п</w:t>
      </w:r>
      <w:proofErr w:type="gramEnd"/>
      <w:r w:rsidRPr="00374CC9">
        <w:rPr>
          <w:rFonts w:ascii="Arial" w:hAnsi="Arial" w:cs="Arial"/>
          <w:color w:val="000000"/>
          <w:lang w:eastAsia="ru-RU"/>
        </w:rPr>
        <w:t>ідтримки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продажів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МХП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контролює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дистриб</w:t>
      </w:r>
      <w:proofErr w:type="spellEnd"/>
      <w:r w:rsidRPr="00374CC9">
        <w:rPr>
          <w:rFonts w:ascii="Arial" w:hAnsi="Arial" w:cs="Arial"/>
          <w:color w:val="000000"/>
          <w:lang w:val="uk-UA" w:eastAsia="ru-RU"/>
        </w:rPr>
        <w:t>у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торську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мережу, яка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складається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з 15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дистрибуційних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центрів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у великих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містах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України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. МХП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використовує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власні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вантажівки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для доставки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своєї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продукції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,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що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знижує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загальні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транспортні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374CC9">
        <w:rPr>
          <w:rFonts w:ascii="Arial" w:hAnsi="Arial" w:cs="Arial"/>
          <w:color w:val="000000"/>
          <w:lang w:eastAsia="ru-RU"/>
        </w:rPr>
        <w:t>витрати</w:t>
      </w:r>
      <w:proofErr w:type="spellEnd"/>
      <w:r w:rsidRPr="00374CC9">
        <w:rPr>
          <w:rFonts w:ascii="Arial" w:hAnsi="Arial" w:cs="Arial"/>
          <w:color w:val="000000"/>
          <w:lang w:eastAsia="ru-RU"/>
        </w:rPr>
        <w:t xml:space="preserve"> і час доставки.</w:t>
      </w:r>
    </w:p>
    <w:p w:rsidR="00374CC9" w:rsidRPr="00374CC9" w:rsidRDefault="00374CC9" w:rsidP="00374CC9">
      <w:pPr>
        <w:jc w:val="both"/>
        <w:rPr>
          <w:rFonts w:ascii="Arial" w:hAnsi="Arial" w:cs="Arial"/>
          <w:lang w:val="uk-UA"/>
        </w:rPr>
      </w:pPr>
      <w:r w:rsidRPr="00374CC9">
        <w:rPr>
          <w:rFonts w:ascii="Arial" w:hAnsi="Arial" w:cs="Arial"/>
          <w:color w:val="000000"/>
          <w:lang w:val="uk-UA" w:eastAsia="ru-RU"/>
        </w:rPr>
        <w:t>МХП також займає провідну позицію в рослинництві: кукурудзу МХП вирощує для виробництва комбікормів, а інші культури – пшеницю, ріпак тощо – продає третім особам.</w:t>
      </w:r>
      <w:r w:rsidRPr="00374CC9">
        <w:rPr>
          <w:rFonts w:ascii="Arial" w:hAnsi="Arial" w:cs="Arial"/>
          <w:lang w:val="uk-UA"/>
        </w:rPr>
        <w:t xml:space="preserve"> </w:t>
      </w:r>
      <w:r w:rsidRPr="00374CC9">
        <w:rPr>
          <w:rFonts w:ascii="Arial" w:hAnsi="Arial" w:cs="Arial"/>
          <w:color w:val="000000"/>
          <w:lang w:val="uk-UA" w:eastAsia="ru-RU"/>
        </w:rPr>
        <w:t xml:space="preserve">МХП орендує сільськогосподарські угіддя, які розташовані здебільшого в родючих чорноземних регіонах України. З 15 травня 2008 року акції МХП котируються на Лондонській фондовій біржі під </w:t>
      </w:r>
      <w:proofErr w:type="spellStart"/>
      <w:r w:rsidRPr="00374CC9">
        <w:rPr>
          <w:rFonts w:ascii="Arial" w:hAnsi="Arial" w:cs="Arial"/>
          <w:color w:val="000000"/>
          <w:lang w:val="uk-UA" w:eastAsia="ru-RU"/>
        </w:rPr>
        <w:t>тікером</w:t>
      </w:r>
      <w:proofErr w:type="spellEnd"/>
      <w:r w:rsidRPr="00374CC9">
        <w:rPr>
          <w:rFonts w:ascii="Arial" w:hAnsi="Arial" w:cs="Arial"/>
          <w:color w:val="000000"/>
          <w:lang w:val="uk-UA" w:eastAsia="ru-RU"/>
        </w:rPr>
        <w:t xml:space="preserve"> </w:t>
      </w:r>
      <w:r w:rsidRPr="00374CC9">
        <w:rPr>
          <w:rFonts w:ascii="Arial" w:hAnsi="Arial" w:cs="Arial"/>
          <w:color w:val="000000"/>
          <w:lang w:eastAsia="ru-RU"/>
        </w:rPr>
        <w:t>MHPC</w:t>
      </w:r>
      <w:r w:rsidRPr="00374CC9">
        <w:rPr>
          <w:rFonts w:ascii="Arial" w:hAnsi="Arial" w:cs="Arial"/>
          <w:color w:val="000000"/>
          <w:lang w:val="uk-UA" w:eastAsia="ru-RU"/>
        </w:rPr>
        <w:t>.</w:t>
      </w:r>
    </w:p>
    <w:p w:rsidR="00A44A36" w:rsidRPr="00374CC9" w:rsidRDefault="00A44A36" w:rsidP="00A44A36">
      <w:pPr>
        <w:pStyle w:val="bj"/>
        <w:rPr>
          <w:rFonts w:ascii="Arial" w:hAnsi="Arial" w:cs="Arial"/>
          <w:lang w:val="uk-UA"/>
        </w:rPr>
      </w:pPr>
    </w:p>
    <w:p w:rsidR="00A44A36" w:rsidRPr="00374CC9" w:rsidRDefault="00C279CF" w:rsidP="00A44A36">
      <w:pPr>
        <w:pStyle w:val="f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374CC9">
        <w:rPr>
          <w:rStyle w:val="as"/>
          <w:b/>
          <w:bCs/>
          <w:color w:val="auto"/>
          <w:lang w:val="uk-UA"/>
        </w:rPr>
        <w:t>Заяви прогнозного характеру</w:t>
      </w:r>
    </w:p>
    <w:p w:rsidR="00A44A36" w:rsidRPr="00374CC9" w:rsidRDefault="00A44A36" w:rsidP="00A44A36">
      <w:pPr>
        <w:pStyle w:val="f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</w:p>
    <w:p w:rsidR="00C279CF" w:rsidRPr="00374CC9" w:rsidRDefault="00C279CF" w:rsidP="00A44A36">
      <w:pPr>
        <w:pStyle w:val="f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374CC9">
        <w:rPr>
          <w:rFonts w:ascii="Arial" w:hAnsi="Arial" w:cs="Arial"/>
          <w:color w:val="auto"/>
          <w:sz w:val="22"/>
          <w:szCs w:val="22"/>
          <w:lang w:val="uk-UA"/>
        </w:rPr>
        <w:t>Цей прес-реліз може містити прогнозні заяви, які відносяться до майбутніх подій або май</w:t>
      </w:r>
      <w:r w:rsidR="00051F80" w:rsidRPr="00374CC9">
        <w:rPr>
          <w:rFonts w:ascii="Arial" w:hAnsi="Arial" w:cs="Arial"/>
          <w:color w:val="auto"/>
          <w:sz w:val="22"/>
          <w:szCs w:val="22"/>
          <w:lang w:val="uk-UA"/>
        </w:rPr>
        <w:t>бутніх фінансових показників</w:t>
      </w:r>
      <w:r w:rsidRPr="00374CC9">
        <w:rPr>
          <w:rFonts w:ascii="Arial" w:hAnsi="Arial" w:cs="Arial"/>
          <w:color w:val="auto"/>
          <w:sz w:val="22"/>
          <w:szCs w:val="22"/>
          <w:lang w:val="uk-UA"/>
        </w:rPr>
        <w:t xml:space="preserve"> </w:t>
      </w:r>
      <w:r w:rsidRPr="00374CC9">
        <w:rPr>
          <w:rStyle w:val="as"/>
          <w:color w:val="auto"/>
          <w:lang w:val="uk-UA"/>
        </w:rPr>
        <w:t xml:space="preserve">MHP S.A. </w:t>
      </w:r>
      <w:r w:rsidRPr="00374CC9">
        <w:rPr>
          <w:rFonts w:ascii="Arial" w:hAnsi="Arial" w:cs="Arial"/>
          <w:color w:val="auto"/>
          <w:sz w:val="22"/>
          <w:szCs w:val="22"/>
          <w:lang w:val="uk-UA"/>
        </w:rPr>
        <w:t>Такі заяви не гарантують, що ці дії будуть прийняті MHP S</w:t>
      </w:r>
      <w:r w:rsidR="00B67EEA" w:rsidRPr="00374CC9">
        <w:rPr>
          <w:rFonts w:ascii="Arial" w:hAnsi="Arial" w:cs="Arial"/>
          <w:color w:val="auto"/>
          <w:sz w:val="22"/>
          <w:szCs w:val="22"/>
          <w:lang w:val="uk-UA"/>
        </w:rPr>
        <w:t>.</w:t>
      </w:r>
      <w:r w:rsidRPr="00374CC9">
        <w:rPr>
          <w:rFonts w:ascii="Arial" w:hAnsi="Arial" w:cs="Arial"/>
          <w:color w:val="auto"/>
          <w:sz w:val="22"/>
          <w:szCs w:val="22"/>
          <w:lang w:val="uk-UA"/>
        </w:rPr>
        <w:t>A</w:t>
      </w:r>
      <w:r w:rsidR="00B67EEA" w:rsidRPr="00374CC9">
        <w:rPr>
          <w:rFonts w:ascii="Arial" w:hAnsi="Arial" w:cs="Arial"/>
          <w:color w:val="auto"/>
          <w:sz w:val="22"/>
          <w:szCs w:val="22"/>
          <w:lang w:val="uk-UA"/>
        </w:rPr>
        <w:t>.</w:t>
      </w:r>
      <w:r w:rsidRPr="00374CC9">
        <w:rPr>
          <w:rFonts w:ascii="Arial" w:hAnsi="Arial" w:cs="Arial"/>
          <w:color w:val="auto"/>
          <w:sz w:val="22"/>
          <w:szCs w:val="22"/>
          <w:lang w:val="uk-UA"/>
        </w:rPr>
        <w:t xml:space="preserve"> в майбутньому, і припущення можуть бути неточними і невизначеними. Фактичні остаточні показники і результати можуть істотно відрізнятися від тих, які оголошені в будь-яких прогнозних заявах. </w:t>
      </w:r>
      <w:r w:rsidRPr="00374CC9">
        <w:rPr>
          <w:rStyle w:val="as"/>
          <w:color w:val="auto"/>
          <w:lang w:val="uk-UA"/>
        </w:rPr>
        <w:t xml:space="preserve">MHP S.A. </w:t>
      </w:r>
      <w:r w:rsidRPr="00374CC9">
        <w:rPr>
          <w:rFonts w:ascii="Arial" w:hAnsi="Arial" w:cs="Arial"/>
          <w:color w:val="auto"/>
          <w:sz w:val="22"/>
          <w:szCs w:val="22"/>
          <w:lang w:val="uk-UA"/>
        </w:rPr>
        <w:t>не має наміру змінювати ці твердження, щоб відобразити фактичні результати.</w:t>
      </w:r>
    </w:p>
    <w:p w:rsidR="003351E2" w:rsidRPr="00374CC9" w:rsidRDefault="00C279CF">
      <w:pPr>
        <w:rPr>
          <w:lang w:val="uk-UA"/>
        </w:rPr>
      </w:pPr>
      <w:r w:rsidRPr="00374CC9">
        <w:rPr>
          <w:lang w:val="uk-UA"/>
        </w:rPr>
        <w:t xml:space="preserve"> </w:t>
      </w:r>
    </w:p>
    <w:sectPr w:rsidR="003351E2" w:rsidRPr="00374CC9" w:rsidSect="00BA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36"/>
    <w:rsid w:val="00007469"/>
    <w:rsid w:val="00035866"/>
    <w:rsid w:val="00051887"/>
    <w:rsid w:val="00051F80"/>
    <w:rsid w:val="00070C8A"/>
    <w:rsid w:val="000C1EC6"/>
    <w:rsid w:val="000F0D1B"/>
    <w:rsid w:val="000F11ED"/>
    <w:rsid w:val="001161A2"/>
    <w:rsid w:val="003351E2"/>
    <w:rsid w:val="00356595"/>
    <w:rsid w:val="00374CC9"/>
    <w:rsid w:val="003E4F2D"/>
    <w:rsid w:val="00402864"/>
    <w:rsid w:val="00406414"/>
    <w:rsid w:val="005421C3"/>
    <w:rsid w:val="00593A34"/>
    <w:rsid w:val="005D46FF"/>
    <w:rsid w:val="006918A8"/>
    <w:rsid w:val="006A21AD"/>
    <w:rsid w:val="006D350A"/>
    <w:rsid w:val="006D4516"/>
    <w:rsid w:val="006D66EF"/>
    <w:rsid w:val="00756F40"/>
    <w:rsid w:val="007B1971"/>
    <w:rsid w:val="007D50BD"/>
    <w:rsid w:val="008946A1"/>
    <w:rsid w:val="00A44A36"/>
    <w:rsid w:val="00A830D6"/>
    <w:rsid w:val="00B1053C"/>
    <w:rsid w:val="00B67EEA"/>
    <w:rsid w:val="00BA7F28"/>
    <w:rsid w:val="00C279CF"/>
    <w:rsid w:val="00CE3D5E"/>
    <w:rsid w:val="00D542FD"/>
    <w:rsid w:val="00E94FE4"/>
    <w:rsid w:val="00F4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4A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styleId="a3">
    <w:name w:val="Body Text"/>
    <w:basedOn w:val="a"/>
    <w:link w:val="a4"/>
    <w:rsid w:val="00A44A36"/>
    <w:pPr>
      <w:spacing w:before="120" w:after="240" w:line="240" w:lineRule="auto"/>
      <w:jc w:val="both"/>
    </w:pPr>
    <w:rPr>
      <w:rFonts w:ascii="Arial" w:eastAsia="Times New Roman" w:hAnsi="Arial" w:cs="Arial"/>
      <w:spacing w:val="-5"/>
      <w:lang w:val="en-US"/>
    </w:rPr>
  </w:style>
  <w:style w:type="character" w:customStyle="1" w:styleId="a4">
    <w:name w:val="Основной текст Знак"/>
    <w:basedOn w:val="a0"/>
    <w:link w:val="a3"/>
    <w:rsid w:val="00A44A36"/>
    <w:rPr>
      <w:rFonts w:ascii="Arial" w:eastAsia="Times New Roman" w:hAnsi="Arial" w:cs="Arial"/>
      <w:spacing w:val="-5"/>
      <w:lang w:val="en-US"/>
    </w:rPr>
  </w:style>
  <w:style w:type="paragraph" w:styleId="a5">
    <w:name w:val="Plain Text"/>
    <w:basedOn w:val="a"/>
    <w:link w:val="a6"/>
    <w:rsid w:val="00A44A36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a6">
    <w:name w:val="Текст Знак"/>
    <w:basedOn w:val="a0"/>
    <w:link w:val="a5"/>
    <w:rsid w:val="00A44A36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Default">
    <w:name w:val="Default"/>
    <w:rsid w:val="00A44A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7">
    <w:name w:val="a"/>
    <w:basedOn w:val="a"/>
    <w:rsid w:val="00A44A36"/>
    <w:pPr>
      <w:spacing w:after="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bj">
    <w:name w:val="bj"/>
    <w:basedOn w:val="a"/>
    <w:rsid w:val="00A44A36"/>
    <w:pPr>
      <w:spacing w:after="0" w:line="240" w:lineRule="auto"/>
      <w:jc w:val="both"/>
    </w:pPr>
    <w:rPr>
      <w:rFonts w:ascii="Times New Roman" w:eastAsia="Times New Roman" w:hAnsi="Times New Roman"/>
      <w:lang w:val="en-GB" w:eastAsia="en-GB"/>
    </w:rPr>
  </w:style>
  <w:style w:type="paragraph" w:customStyle="1" w:styleId="f">
    <w:name w:val="f"/>
    <w:basedOn w:val="a"/>
    <w:rsid w:val="00A44A36"/>
    <w:pPr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en-GB" w:eastAsia="en-GB"/>
    </w:rPr>
  </w:style>
  <w:style w:type="character" w:customStyle="1" w:styleId="as">
    <w:name w:val="as"/>
    <w:rsid w:val="00A44A36"/>
    <w:rPr>
      <w:rFonts w:ascii="Arial" w:hAnsi="Arial" w:cs="Arial"/>
      <w:sz w:val="22"/>
      <w:szCs w:val="22"/>
    </w:rPr>
  </w:style>
  <w:style w:type="character" w:customStyle="1" w:styleId="x">
    <w:name w:val="x"/>
    <w:rsid w:val="00A44A36"/>
    <w:rPr>
      <w:rFonts w:ascii="Arial" w:hAnsi="Arial" w:cs="Arial"/>
      <w:spacing w:val="-2"/>
    </w:rPr>
  </w:style>
  <w:style w:type="character" w:customStyle="1" w:styleId="w">
    <w:name w:val="w"/>
    <w:rsid w:val="00A44A36"/>
    <w:rPr>
      <w:rFonts w:ascii="Arial" w:hAnsi="Arial" w:cs="Arial"/>
      <w:spacing w:val="-2"/>
    </w:rPr>
  </w:style>
  <w:style w:type="character" w:customStyle="1" w:styleId="t">
    <w:name w:val="t"/>
    <w:rsid w:val="00A44A36"/>
    <w:rPr>
      <w:rFonts w:ascii="Arial" w:hAnsi="Arial" w:cs="Arial"/>
      <w:sz w:val="20"/>
      <w:szCs w:val="20"/>
    </w:rPr>
  </w:style>
  <w:style w:type="character" w:styleId="a8">
    <w:name w:val="Hyperlink"/>
    <w:unhideWhenUsed/>
    <w:rsid w:val="00A44A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4A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4A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 w:eastAsia="en-GB"/>
    </w:rPr>
  </w:style>
  <w:style w:type="paragraph" w:styleId="a3">
    <w:name w:val="Body Text"/>
    <w:basedOn w:val="a"/>
    <w:link w:val="a4"/>
    <w:rsid w:val="00A44A36"/>
    <w:pPr>
      <w:spacing w:before="120" w:after="240" w:line="240" w:lineRule="auto"/>
      <w:jc w:val="both"/>
    </w:pPr>
    <w:rPr>
      <w:rFonts w:ascii="Arial" w:eastAsia="Times New Roman" w:hAnsi="Arial" w:cs="Arial"/>
      <w:spacing w:val="-5"/>
      <w:lang w:val="en-US"/>
    </w:rPr>
  </w:style>
  <w:style w:type="character" w:customStyle="1" w:styleId="a4">
    <w:name w:val="Основной текст Знак"/>
    <w:basedOn w:val="a0"/>
    <w:link w:val="a3"/>
    <w:rsid w:val="00A44A36"/>
    <w:rPr>
      <w:rFonts w:ascii="Arial" w:eastAsia="Times New Roman" w:hAnsi="Arial" w:cs="Arial"/>
      <w:spacing w:val="-5"/>
      <w:lang w:val="en-US"/>
    </w:rPr>
  </w:style>
  <w:style w:type="paragraph" w:styleId="a5">
    <w:name w:val="Plain Text"/>
    <w:basedOn w:val="a"/>
    <w:link w:val="a6"/>
    <w:rsid w:val="00A44A36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a6">
    <w:name w:val="Текст Знак"/>
    <w:basedOn w:val="a0"/>
    <w:link w:val="a5"/>
    <w:rsid w:val="00A44A36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Default">
    <w:name w:val="Default"/>
    <w:rsid w:val="00A44A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7">
    <w:name w:val="a"/>
    <w:basedOn w:val="a"/>
    <w:rsid w:val="00A44A36"/>
    <w:pPr>
      <w:spacing w:after="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bj">
    <w:name w:val="bj"/>
    <w:basedOn w:val="a"/>
    <w:rsid w:val="00A44A36"/>
    <w:pPr>
      <w:spacing w:after="0" w:line="240" w:lineRule="auto"/>
      <w:jc w:val="both"/>
    </w:pPr>
    <w:rPr>
      <w:rFonts w:ascii="Times New Roman" w:eastAsia="Times New Roman" w:hAnsi="Times New Roman"/>
      <w:lang w:val="en-GB" w:eastAsia="en-GB"/>
    </w:rPr>
  </w:style>
  <w:style w:type="paragraph" w:customStyle="1" w:styleId="f">
    <w:name w:val="f"/>
    <w:basedOn w:val="a"/>
    <w:rsid w:val="00A44A36"/>
    <w:pPr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en-GB" w:eastAsia="en-GB"/>
    </w:rPr>
  </w:style>
  <w:style w:type="character" w:customStyle="1" w:styleId="as">
    <w:name w:val="as"/>
    <w:rsid w:val="00A44A36"/>
    <w:rPr>
      <w:rFonts w:ascii="Arial" w:hAnsi="Arial" w:cs="Arial"/>
      <w:sz w:val="22"/>
      <w:szCs w:val="22"/>
    </w:rPr>
  </w:style>
  <w:style w:type="character" w:customStyle="1" w:styleId="x">
    <w:name w:val="x"/>
    <w:rsid w:val="00A44A36"/>
    <w:rPr>
      <w:rFonts w:ascii="Arial" w:hAnsi="Arial" w:cs="Arial"/>
      <w:spacing w:val="-2"/>
    </w:rPr>
  </w:style>
  <w:style w:type="character" w:customStyle="1" w:styleId="w">
    <w:name w:val="w"/>
    <w:rsid w:val="00A44A36"/>
    <w:rPr>
      <w:rFonts w:ascii="Arial" w:hAnsi="Arial" w:cs="Arial"/>
      <w:spacing w:val="-2"/>
    </w:rPr>
  </w:style>
  <w:style w:type="character" w:customStyle="1" w:styleId="t">
    <w:name w:val="t"/>
    <w:rsid w:val="00A44A36"/>
    <w:rPr>
      <w:rFonts w:ascii="Arial" w:hAnsi="Arial" w:cs="Arial"/>
      <w:sz w:val="20"/>
      <w:szCs w:val="20"/>
    </w:rPr>
  </w:style>
  <w:style w:type="character" w:styleId="a8">
    <w:name w:val="Hyperlink"/>
    <w:unhideWhenUsed/>
    <w:rsid w:val="00A44A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4A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sobotyuk@mhp.com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BC7C-A6A4-4EBC-B447-D8F4FDA7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4177</Words>
  <Characters>2382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Соботюк</dc:creator>
  <cp:lastModifiedBy>Sobotyuk Anastasiya</cp:lastModifiedBy>
  <cp:revision>2</cp:revision>
  <cp:lastPrinted>2015-04-29T07:55:00Z</cp:lastPrinted>
  <dcterms:created xsi:type="dcterms:W3CDTF">2016-04-18T19:11:00Z</dcterms:created>
  <dcterms:modified xsi:type="dcterms:W3CDTF">2016-04-18T19:11:00Z</dcterms:modified>
</cp:coreProperties>
</file>