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76" w:rsidRPr="00D13147" w:rsidRDefault="00E50776" w:rsidP="00E50776">
      <w:pPr>
        <w:pStyle w:val="c3"/>
        <w:jc w:val="both"/>
        <w:rPr>
          <w:b/>
          <w:bCs/>
          <w:sz w:val="22"/>
          <w:szCs w:val="22"/>
        </w:rPr>
      </w:pPr>
      <w:r w:rsidRPr="00D13147">
        <w:rPr>
          <w:noProof/>
          <w:sz w:val="22"/>
          <w:szCs w:val="22"/>
          <w:lang w:val="uk-UA" w:eastAsia="uk-UA"/>
        </w:rPr>
        <w:drawing>
          <wp:inline distT="0" distB="0" distL="0" distR="0">
            <wp:extent cx="923290" cy="127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290" cy="1276985"/>
                    </a:xfrm>
                    <a:prstGeom prst="rect">
                      <a:avLst/>
                    </a:prstGeom>
                    <a:noFill/>
                    <a:ln>
                      <a:noFill/>
                    </a:ln>
                  </pic:spPr>
                </pic:pic>
              </a:graphicData>
            </a:graphic>
          </wp:inline>
        </w:drawing>
      </w:r>
    </w:p>
    <w:p w:rsidR="00E50776" w:rsidRPr="00D13147" w:rsidRDefault="00E50776" w:rsidP="00E50776">
      <w:pPr>
        <w:pStyle w:val="c3"/>
        <w:tabs>
          <w:tab w:val="center" w:pos="4995"/>
        </w:tabs>
        <w:jc w:val="both"/>
        <w:rPr>
          <w:b/>
          <w:bCs/>
          <w:sz w:val="22"/>
          <w:szCs w:val="22"/>
          <w:lang w:val="en-US"/>
        </w:rPr>
      </w:pPr>
      <w:r w:rsidRPr="00D13147">
        <w:rPr>
          <w:b/>
          <w:bCs/>
          <w:sz w:val="22"/>
          <w:szCs w:val="22"/>
          <w:lang w:val="en-US"/>
        </w:rPr>
        <w:t>PRESS RELEASE</w:t>
      </w:r>
    </w:p>
    <w:p w:rsidR="00E50776" w:rsidRPr="00D13147" w:rsidRDefault="00E50776" w:rsidP="00E50776">
      <w:pPr>
        <w:pStyle w:val="c3"/>
        <w:jc w:val="both"/>
        <w:rPr>
          <w:sz w:val="22"/>
          <w:szCs w:val="22"/>
          <w:lang w:val="en-US"/>
        </w:rPr>
      </w:pPr>
      <w:r>
        <w:rPr>
          <w:sz w:val="22"/>
          <w:szCs w:val="22"/>
          <w:lang w:val="en-US"/>
        </w:rPr>
        <w:t xml:space="preserve">April </w:t>
      </w:r>
      <w:r w:rsidRPr="00E50776">
        <w:rPr>
          <w:sz w:val="22"/>
          <w:szCs w:val="22"/>
          <w:lang w:val="en-US"/>
        </w:rPr>
        <w:t>19</w:t>
      </w:r>
      <w:r w:rsidRPr="00D13147">
        <w:rPr>
          <w:sz w:val="22"/>
          <w:szCs w:val="22"/>
          <w:lang w:val="en-US"/>
        </w:rPr>
        <w:t>, 201</w:t>
      </w:r>
      <w:r>
        <w:rPr>
          <w:sz w:val="22"/>
          <w:szCs w:val="22"/>
          <w:lang w:val="en-US"/>
        </w:rPr>
        <w:t>6</w:t>
      </w:r>
      <w:r w:rsidRPr="00D13147">
        <w:rPr>
          <w:sz w:val="22"/>
          <w:szCs w:val="22"/>
          <w:lang w:val="en-US"/>
        </w:rPr>
        <w:t xml:space="preserve">, Kyiv, Ukraine </w:t>
      </w:r>
    </w:p>
    <w:p w:rsidR="00E50776" w:rsidRPr="00D13147" w:rsidRDefault="00E50776" w:rsidP="00E50776">
      <w:pPr>
        <w:pStyle w:val="c3"/>
        <w:jc w:val="both"/>
        <w:rPr>
          <w:sz w:val="22"/>
          <w:szCs w:val="22"/>
          <w:lang w:val="en-US"/>
        </w:rPr>
      </w:pPr>
    </w:p>
    <w:p w:rsidR="00E50776" w:rsidRPr="00D13147" w:rsidRDefault="00E50776" w:rsidP="00E50776">
      <w:pPr>
        <w:pStyle w:val="c3"/>
        <w:jc w:val="center"/>
        <w:rPr>
          <w:b/>
          <w:bCs/>
          <w:sz w:val="22"/>
          <w:szCs w:val="22"/>
          <w:lang w:val="en-US"/>
        </w:rPr>
      </w:pPr>
      <w:r w:rsidRPr="00D13147">
        <w:rPr>
          <w:b/>
          <w:bCs/>
          <w:sz w:val="22"/>
          <w:szCs w:val="22"/>
        </w:rPr>
        <w:t>MHP</w:t>
      </w:r>
      <w:r w:rsidRPr="00D13147">
        <w:rPr>
          <w:b/>
          <w:bCs/>
          <w:sz w:val="22"/>
          <w:szCs w:val="22"/>
          <w:lang w:val="en-US"/>
        </w:rPr>
        <w:t xml:space="preserve"> </w:t>
      </w:r>
      <w:r w:rsidRPr="00D13147">
        <w:rPr>
          <w:b/>
          <w:bCs/>
          <w:sz w:val="22"/>
          <w:szCs w:val="22"/>
        </w:rPr>
        <w:t>S</w:t>
      </w:r>
      <w:r w:rsidRPr="00D13147">
        <w:rPr>
          <w:b/>
          <w:bCs/>
          <w:sz w:val="22"/>
          <w:szCs w:val="22"/>
          <w:lang w:val="en-US"/>
        </w:rPr>
        <w:t>.</w:t>
      </w:r>
      <w:r w:rsidRPr="00D13147">
        <w:rPr>
          <w:b/>
          <w:bCs/>
          <w:sz w:val="22"/>
          <w:szCs w:val="22"/>
        </w:rPr>
        <w:t>A</w:t>
      </w:r>
      <w:proofErr w:type="gramStart"/>
      <w:r w:rsidRPr="00D13147">
        <w:rPr>
          <w:b/>
          <w:bCs/>
          <w:sz w:val="22"/>
          <w:szCs w:val="22"/>
          <w:lang w:val="en-US"/>
        </w:rPr>
        <w:t>.</w:t>
      </w:r>
      <w:proofErr w:type="gramEnd"/>
      <w:r w:rsidRPr="00D13147">
        <w:rPr>
          <w:b/>
          <w:bCs/>
          <w:sz w:val="22"/>
          <w:szCs w:val="22"/>
          <w:lang w:val="en-US"/>
        </w:rPr>
        <w:br/>
        <w:t xml:space="preserve">Pre-close trading update for the </w:t>
      </w:r>
      <w:r w:rsidRPr="00D13147">
        <w:rPr>
          <w:b/>
          <w:sz w:val="22"/>
          <w:szCs w:val="22"/>
          <w:lang w:val="en-US"/>
        </w:rPr>
        <w:t>f</w:t>
      </w:r>
      <w:r>
        <w:rPr>
          <w:b/>
          <w:sz w:val="22"/>
          <w:szCs w:val="22"/>
          <w:lang w:val="en-US"/>
        </w:rPr>
        <w:t>irst quarter ended 31 March 2016</w:t>
      </w:r>
    </w:p>
    <w:p w:rsidR="00E50776" w:rsidRPr="00D13147" w:rsidRDefault="00E50776" w:rsidP="00E50776">
      <w:pPr>
        <w:autoSpaceDE w:val="0"/>
        <w:autoSpaceDN w:val="0"/>
        <w:adjustRightInd w:val="0"/>
        <w:jc w:val="both"/>
        <w:rPr>
          <w:rFonts w:ascii="Arial" w:hAnsi="Arial" w:cs="Arial"/>
          <w:lang w:val="en-US"/>
        </w:rPr>
      </w:pPr>
      <w:r w:rsidRPr="00D13147">
        <w:rPr>
          <w:rFonts w:ascii="Arial" w:hAnsi="Arial" w:cs="Arial"/>
          <w:lang w:val="en-US"/>
        </w:rPr>
        <w:t>MHP S.A. (LSE: MHPC) (“MHP” or “The Company”), one of the leading agro-industrial companies in Ukraine, focusing on the production of poultry and the cultivation of grain, announces its pre-close trading update for the three months ended 31 March 201</w:t>
      </w:r>
      <w:r>
        <w:rPr>
          <w:rFonts w:ascii="Arial" w:hAnsi="Arial" w:cs="Arial"/>
          <w:lang w:val="en-US"/>
        </w:rPr>
        <w:t>6</w:t>
      </w:r>
      <w:r w:rsidRPr="00D13147">
        <w:rPr>
          <w:rFonts w:ascii="Arial" w:hAnsi="Arial" w:cs="Arial"/>
          <w:lang w:val="en-US"/>
        </w:rPr>
        <w:t xml:space="preserve">. </w:t>
      </w:r>
    </w:p>
    <w:p w:rsidR="00E50776" w:rsidRPr="00D13147" w:rsidRDefault="00E50776" w:rsidP="00E50776">
      <w:pPr>
        <w:pStyle w:val="c3"/>
        <w:jc w:val="both"/>
        <w:rPr>
          <w:b/>
          <w:sz w:val="22"/>
          <w:szCs w:val="22"/>
        </w:rPr>
      </w:pPr>
      <w:r w:rsidRPr="00D13147">
        <w:rPr>
          <w:b/>
          <w:sz w:val="22"/>
          <w:szCs w:val="22"/>
        </w:rPr>
        <w:t>Poultry and Related Operations</w:t>
      </w:r>
    </w:p>
    <w:p w:rsidR="00E50776" w:rsidRDefault="00E50776" w:rsidP="00E50776">
      <w:pPr>
        <w:pStyle w:val="c3"/>
        <w:jc w:val="both"/>
        <w:rPr>
          <w:rFonts w:eastAsiaTheme="minorHAnsi"/>
          <w:sz w:val="22"/>
          <w:szCs w:val="22"/>
        </w:rPr>
      </w:pPr>
      <w:r w:rsidRPr="00D13147">
        <w:rPr>
          <w:sz w:val="22"/>
          <w:szCs w:val="22"/>
          <w:lang w:val="en-US"/>
        </w:rPr>
        <w:t xml:space="preserve">As usual, the Company’s poultry production facilities continued to operate at full capacity during the </w:t>
      </w:r>
      <w:r w:rsidR="00371226">
        <w:rPr>
          <w:sz w:val="22"/>
          <w:szCs w:val="22"/>
          <w:lang w:val="en-US"/>
        </w:rPr>
        <w:t xml:space="preserve">reporting </w:t>
      </w:r>
      <w:r w:rsidRPr="00D13147">
        <w:rPr>
          <w:sz w:val="22"/>
          <w:szCs w:val="22"/>
          <w:lang w:val="en-US"/>
        </w:rPr>
        <w:t>period.</w:t>
      </w:r>
      <w:r>
        <w:rPr>
          <w:rFonts w:eastAsiaTheme="minorHAnsi"/>
          <w:sz w:val="22"/>
          <w:szCs w:val="22"/>
        </w:rPr>
        <w:t xml:space="preserve"> </w:t>
      </w:r>
    </w:p>
    <w:p w:rsidR="00E50776" w:rsidRPr="00371226" w:rsidRDefault="00E50776" w:rsidP="00E50776">
      <w:pPr>
        <w:pStyle w:val="c3"/>
        <w:jc w:val="both"/>
        <w:rPr>
          <w:sz w:val="22"/>
          <w:szCs w:val="22"/>
          <w:lang w:val="en-US"/>
        </w:rPr>
      </w:pPr>
      <w:r w:rsidRPr="00D13147">
        <w:rPr>
          <w:sz w:val="22"/>
          <w:szCs w:val="22"/>
          <w:lang w:val="en-US"/>
        </w:rPr>
        <w:t>MHP’s overall production vo</w:t>
      </w:r>
      <w:r>
        <w:rPr>
          <w:sz w:val="22"/>
          <w:szCs w:val="22"/>
          <w:lang w:val="en-US"/>
        </w:rPr>
        <w:t>lumes of chicken meat in Q1 2016</w:t>
      </w:r>
      <w:r w:rsidRPr="00D13147">
        <w:rPr>
          <w:sz w:val="22"/>
          <w:szCs w:val="22"/>
          <w:lang w:val="en-US"/>
        </w:rPr>
        <w:t xml:space="preserve"> </w:t>
      </w:r>
      <w:r w:rsidR="0046134F">
        <w:rPr>
          <w:sz w:val="22"/>
          <w:szCs w:val="22"/>
          <w:lang w:val="en-US"/>
        </w:rPr>
        <w:t xml:space="preserve">increased </w:t>
      </w:r>
      <w:r w:rsidR="00371226">
        <w:rPr>
          <w:sz w:val="22"/>
          <w:szCs w:val="22"/>
          <w:lang w:val="en-US"/>
        </w:rPr>
        <w:t xml:space="preserve">by </w:t>
      </w:r>
      <w:r w:rsidR="0046134F" w:rsidRPr="00371226">
        <w:rPr>
          <w:sz w:val="22"/>
          <w:szCs w:val="22"/>
          <w:lang w:val="en-US"/>
        </w:rPr>
        <w:t xml:space="preserve">11% and </w:t>
      </w:r>
      <w:r w:rsidRPr="00371226">
        <w:rPr>
          <w:sz w:val="22"/>
          <w:szCs w:val="22"/>
          <w:lang w:val="en-US"/>
        </w:rPr>
        <w:t xml:space="preserve">constituted 155,610 </w:t>
      </w:r>
      <w:proofErr w:type="spellStart"/>
      <w:r w:rsidRPr="00371226">
        <w:rPr>
          <w:sz w:val="22"/>
          <w:szCs w:val="22"/>
          <w:lang w:val="en-US"/>
        </w:rPr>
        <w:t>tonnes</w:t>
      </w:r>
      <w:proofErr w:type="spellEnd"/>
      <w:r w:rsidRPr="00371226">
        <w:rPr>
          <w:sz w:val="22"/>
          <w:szCs w:val="22"/>
          <w:lang w:val="en-US"/>
        </w:rPr>
        <w:t xml:space="preserve"> (Q1 2015: 140,370 </w:t>
      </w:r>
      <w:proofErr w:type="spellStart"/>
      <w:r w:rsidRPr="00371226">
        <w:rPr>
          <w:sz w:val="22"/>
          <w:szCs w:val="22"/>
          <w:lang w:val="en-US"/>
        </w:rPr>
        <w:t>tonnes</w:t>
      </w:r>
      <w:proofErr w:type="spellEnd"/>
      <w:r w:rsidRPr="00371226">
        <w:rPr>
          <w:sz w:val="22"/>
          <w:szCs w:val="22"/>
          <w:lang w:val="en-US"/>
        </w:rPr>
        <w:t>)</w:t>
      </w:r>
      <w:r w:rsidR="0046134F" w:rsidRPr="00371226">
        <w:rPr>
          <w:sz w:val="22"/>
          <w:szCs w:val="22"/>
          <w:lang w:val="en-US"/>
        </w:rPr>
        <w:t xml:space="preserve">, mainly due to the launch of several new rearing sites at </w:t>
      </w:r>
      <w:proofErr w:type="spellStart"/>
      <w:r w:rsidR="0046134F" w:rsidRPr="00371226">
        <w:rPr>
          <w:sz w:val="22"/>
          <w:szCs w:val="22"/>
          <w:lang w:val="en-US"/>
        </w:rPr>
        <w:t>Myronivska</w:t>
      </w:r>
      <w:proofErr w:type="spellEnd"/>
      <w:r w:rsidR="0046134F" w:rsidRPr="00371226">
        <w:rPr>
          <w:sz w:val="22"/>
          <w:szCs w:val="22"/>
          <w:lang w:val="en-US"/>
        </w:rPr>
        <w:t xml:space="preserve"> and </w:t>
      </w:r>
      <w:proofErr w:type="spellStart"/>
      <w:r w:rsidR="0046134F" w:rsidRPr="00371226">
        <w:rPr>
          <w:sz w:val="22"/>
          <w:szCs w:val="22"/>
          <w:lang w:val="en-US"/>
        </w:rPr>
        <w:t>Oril</w:t>
      </w:r>
      <w:proofErr w:type="spellEnd"/>
      <w:r w:rsidR="0046134F" w:rsidRPr="00371226">
        <w:rPr>
          <w:sz w:val="22"/>
          <w:szCs w:val="22"/>
          <w:lang w:val="en-US"/>
        </w:rPr>
        <w:t xml:space="preserve"> Leader poultry complexes, that have been working in trial mode.</w:t>
      </w:r>
    </w:p>
    <w:tbl>
      <w:tblPr>
        <w:tblW w:w="6293" w:type="dxa"/>
        <w:tblCellMar>
          <w:left w:w="0" w:type="dxa"/>
          <w:right w:w="0" w:type="dxa"/>
        </w:tblCellMar>
        <w:tblLook w:val="0000" w:firstRow="0" w:lastRow="0" w:firstColumn="0" w:lastColumn="0" w:noHBand="0" w:noVBand="0"/>
      </w:tblPr>
      <w:tblGrid>
        <w:gridCol w:w="3248"/>
        <w:gridCol w:w="796"/>
        <w:gridCol w:w="1091"/>
        <w:gridCol w:w="938"/>
        <w:gridCol w:w="236"/>
      </w:tblGrid>
      <w:tr w:rsidR="00E50776" w:rsidRPr="00D13147" w:rsidTr="00E50776">
        <w:trPr>
          <w:trHeight w:val="510"/>
        </w:trPr>
        <w:tc>
          <w:tcPr>
            <w:tcW w:w="3232" w:type="dxa"/>
            <w:tcBorders>
              <w:bottom w:val="single" w:sz="12" w:space="0" w:color="auto"/>
            </w:tcBorders>
            <w:noWrap/>
            <w:vAlign w:val="bottom"/>
          </w:tcPr>
          <w:p w:rsidR="00E50776" w:rsidRPr="00D13147" w:rsidRDefault="00E50776" w:rsidP="00F94706">
            <w:pPr>
              <w:rPr>
                <w:rFonts w:ascii="Arial" w:hAnsi="Arial" w:cs="Arial"/>
              </w:rPr>
            </w:pPr>
            <w:proofErr w:type="spellStart"/>
            <w:r w:rsidRPr="00D13147">
              <w:rPr>
                <w:rFonts w:ascii="Arial" w:hAnsi="Arial" w:cs="Arial"/>
                <w:b/>
                <w:bCs/>
              </w:rPr>
              <w:t>Poultry</w:t>
            </w:r>
            <w:proofErr w:type="spellEnd"/>
          </w:p>
        </w:tc>
        <w:tc>
          <w:tcPr>
            <w:tcW w:w="796" w:type="dxa"/>
            <w:tcBorders>
              <w:bottom w:val="single" w:sz="12" w:space="0" w:color="auto"/>
            </w:tcBorders>
            <w:vAlign w:val="bottom"/>
          </w:tcPr>
          <w:p w:rsidR="00E50776" w:rsidRPr="00A44A36" w:rsidRDefault="00E50776" w:rsidP="005C295F">
            <w:pPr>
              <w:jc w:val="right"/>
              <w:rPr>
                <w:rFonts w:ascii="Arial" w:hAnsi="Arial" w:cs="Arial"/>
                <w:b/>
                <w:bCs/>
              </w:rPr>
            </w:pPr>
            <w:r w:rsidRPr="00D13147">
              <w:rPr>
                <w:rFonts w:ascii="Arial" w:hAnsi="Arial" w:cs="Arial"/>
                <w:b/>
                <w:bCs/>
              </w:rPr>
              <w:t xml:space="preserve">Q1 </w:t>
            </w:r>
            <w:r w:rsidRPr="00D13147">
              <w:rPr>
                <w:rFonts w:ascii="Arial" w:hAnsi="Arial" w:cs="Arial"/>
                <w:b/>
                <w:bCs/>
                <w:lang w:val="en-US"/>
              </w:rPr>
              <w:t xml:space="preserve">  </w:t>
            </w:r>
            <w:r w:rsidRPr="00D13147">
              <w:rPr>
                <w:rFonts w:ascii="Arial" w:hAnsi="Arial" w:cs="Arial"/>
                <w:b/>
                <w:bCs/>
              </w:rPr>
              <w:t>201</w:t>
            </w:r>
            <w:r w:rsidR="005C295F">
              <w:rPr>
                <w:rFonts w:ascii="Arial" w:hAnsi="Arial" w:cs="Arial"/>
                <w:b/>
                <w:bCs/>
              </w:rPr>
              <w:t>6</w:t>
            </w:r>
          </w:p>
        </w:tc>
        <w:tc>
          <w:tcPr>
            <w:tcW w:w="1091" w:type="dxa"/>
            <w:tcBorders>
              <w:bottom w:val="single" w:sz="12" w:space="0" w:color="auto"/>
            </w:tcBorders>
            <w:noWrap/>
            <w:tcMar>
              <w:top w:w="0" w:type="dxa"/>
              <w:left w:w="108" w:type="dxa"/>
              <w:bottom w:w="0" w:type="dxa"/>
              <w:right w:w="108" w:type="dxa"/>
            </w:tcMar>
            <w:vAlign w:val="bottom"/>
          </w:tcPr>
          <w:p w:rsidR="00E50776" w:rsidRPr="00D13147" w:rsidRDefault="00E50776" w:rsidP="005C295F">
            <w:pPr>
              <w:jc w:val="right"/>
              <w:rPr>
                <w:rFonts w:ascii="Arial" w:hAnsi="Arial" w:cs="Arial"/>
                <w:b/>
                <w:bCs/>
                <w:lang w:val="en-US"/>
              </w:rPr>
            </w:pPr>
            <w:r w:rsidRPr="00D13147">
              <w:rPr>
                <w:rFonts w:ascii="Arial" w:hAnsi="Arial" w:cs="Arial"/>
                <w:b/>
                <w:bCs/>
              </w:rPr>
              <w:t xml:space="preserve">Q1 </w:t>
            </w:r>
            <w:r w:rsidRPr="00D13147">
              <w:rPr>
                <w:rFonts w:ascii="Arial" w:hAnsi="Arial" w:cs="Arial"/>
                <w:b/>
                <w:bCs/>
                <w:lang w:val="en-US"/>
              </w:rPr>
              <w:t xml:space="preserve">  </w:t>
            </w:r>
            <w:r w:rsidRPr="00D13147">
              <w:rPr>
                <w:rFonts w:ascii="Arial" w:hAnsi="Arial" w:cs="Arial"/>
                <w:b/>
                <w:bCs/>
              </w:rPr>
              <w:t>201</w:t>
            </w:r>
            <w:r w:rsidR="005C295F">
              <w:rPr>
                <w:rFonts w:ascii="Arial" w:hAnsi="Arial" w:cs="Arial"/>
                <w:b/>
                <w:bCs/>
                <w:lang w:val="en-US"/>
              </w:rPr>
              <w:t>5</w:t>
            </w:r>
          </w:p>
        </w:tc>
        <w:tc>
          <w:tcPr>
            <w:tcW w:w="938" w:type="dxa"/>
            <w:tcBorders>
              <w:bottom w:val="single" w:sz="12" w:space="0" w:color="auto"/>
            </w:tcBorders>
            <w:tcMar>
              <w:top w:w="0" w:type="dxa"/>
              <w:left w:w="108" w:type="dxa"/>
              <w:bottom w:w="0" w:type="dxa"/>
              <w:right w:w="108" w:type="dxa"/>
            </w:tcMar>
            <w:vAlign w:val="bottom"/>
          </w:tcPr>
          <w:p w:rsidR="00E50776" w:rsidRPr="00D13147" w:rsidRDefault="00E50776" w:rsidP="00F94706">
            <w:pPr>
              <w:jc w:val="right"/>
              <w:rPr>
                <w:rFonts w:ascii="Arial" w:hAnsi="Arial" w:cs="Arial"/>
                <w:i/>
                <w:iCs/>
              </w:rPr>
            </w:pPr>
            <w:r w:rsidRPr="00D13147">
              <w:rPr>
                <w:rFonts w:ascii="Arial" w:hAnsi="Arial" w:cs="Arial"/>
                <w:i/>
                <w:iCs/>
              </w:rPr>
              <w:t xml:space="preserve">% </w:t>
            </w:r>
            <w:proofErr w:type="spellStart"/>
            <w:r w:rsidRPr="00D13147">
              <w:rPr>
                <w:rFonts w:ascii="Arial" w:hAnsi="Arial" w:cs="Arial"/>
                <w:i/>
                <w:iCs/>
              </w:rPr>
              <w:t>change</w:t>
            </w:r>
            <w:proofErr w:type="spellEnd"/>
          </w:p>
        </w:tc>
        <w:tc>
          <w:tcPr>
            <w:tcW w:w="236" w:type="dxa"/>
            <w:tcBorders>
              <w:bottom w:val="single" w:sz="12" w:space="0" w:color="auto"/>
            </w:tcBorders>
            <w:noWrap/>
            <w:tcMar>
              <w:top w:w="0" w:type="dxa"/>
              <w:left w:w="108" w:type="dxa"/>
              <w:bottom w:w="0" w:type="dxa"/>
              <w:right w:w="108" w:type="dxa"/>
            </w:tcMar>
            <w:vAlign w:val="bottom"/>
          </w:tcPr>
          <w:p w:rsidR="00E50776" w:rsidRPr="00D13147" w:rsidRDefault="00E50776" w:rsidP="00F94706">
            <w:pPr>
              <w:rPr>
                <w:rFonts w:ascii="Arial" w:hAnsi="Arial" w:cs="Arial"/>
              </w:rPr>
            </w:pPr>
          </w:p>
        </w:tc>
      </w:tr>
      <w:tr w:rsidR="00E50776" w:rsidRPr="00D13147" w:rsidTr="00E50776">
        <w:trPr>
          <w:trHeight w:val="255"/>
        </w:trPr>
        <w:tc>
          <w:tcPr>
            <w:tcW w:w="3232" w:type="dxa"/>
            <w:noWrap/>
            <w:vAlign w:val="bottom"/>
          </w:tcPr>
          <w:p w:rsidR="00E50776" w:rsidRPr="00D13147" w:rsidRDefault="00E50776" w:rsidP="00F94706">
            <w:pPr>
              <w:rPr>
                <w:rFonts w:ascii="Arial" w:hAnsi="Arial" w:cs="Arial"/>
                <w:lang w:val="en-US"/>
              </w:rPr>
            </w:pPr>
            <w:r w:rsidRPr="00D13147">
              <w:rPr>
                <w:rFonts w:ascii="Arial" w:hAnsi="Arial" w:cs="Arial"/>
                <w:lang w:val="en-US"/>
              </w:rPr>
              <w:t xml:space="preserve">Sales volume, third parties </w:t>
            </w:r>
            <w:proofErr w:type="spellStart"/>
            <w:r w:rsidRPr="00D13147">
              <w:rPr>
                <w:rFonts w:ascii="Arial" w:hAnsi="Arial" w:cs="Arial"/>
                <w:lang w:val="en-US"/>
              </w:rPr>
              <w:t>tonnes</w:t>
            </w:r>
            <w:proofErr w:type="spellEnd"/>
          </w:p>
        </w:tc>
        <w:tc>
          <w:tcPr>
            <w:tcW w:w="796" w:type="dxa"/>
            <w:vAlign w:val="bottom"/>
          </w:tcPr>
          <w:p w:rsidR="00E50776" w:rsidRPr="00D13147" w:rsidRDefault="00164AF6" w:rsidP="00E50776">
            <w:pPr>
              <w:jc w:val="right"/>
              <w:rPr>
                <w:rFonts w:ascii="Arial" w:hAnsi="Arial" w:cs="Arial"/>
                <w:lang w:val="en-US"/>
              </w:rPr>
            </w:pPr>
            <w:r>
              <w:rPr>
                <w:rFonts w:ascii="Arial" w:hAnsi="Arial" w:cs="Arial"/>
                <w:lang w:val="uk-UA"/>
              </w:rPr>
              <w:t>117,716</w:t>
            </w:r>
            <w:r w:rsidR="00E50776" w:rsidRPr="00D13147">
              <w:rPr>
                <w:rFonts w:ascii="Arial" w:hAnsi="Arial" w:cs="Arial"/>
                <w:lang w:val="en-US"/>
              </w:rPr>
              <w:t xml:space="preserve"> </w:t>
            </w:r>
          </w:p>
        </w:tc>
        <w:tc>
          <w:tcPr>
            <w:tcW w:w="1091" w:type="dxa"/>
            <w:noWrap/>
            <w:tcMar>
              <w:top w:w="0" w:type="dxa"/>
              <w:left w:w="108" w:type="dxa"/>
              <w:bottom w:w="0" w:type="dxa"/>
              <w:right w:w="108" w:type="dxa"/>
            </w:tcMar>
            <w:vAlign w:val="bottom"/>
          </w:tcPr>
          <w:p w:rsidR="00E50776" w:rsidRPr="00D13147" w:rsidRDefault="00E50776" w:rsidP="00F94706">
            <w:pPr>
              <w:jc w:val="right"/>
              <w:rPr>
                <w:rFonts w:ascii="Arial" w:hAnsi="Arial" w:cs="Arial"/>
                <w:lang w:val="en-US"/>
              </w:rPr>
            </w:pPr>
            <w:r>
              <w:rPr>
                <w:rFonts w:ascii="Arial" w:hAnsi="Arial" w:cs="Arial"/>
                <w:lang w:val="en-US"/>
              </w:rPr>
              <w:t>113,64</w:t>
            </w:r>
            <w:r w:rsidRPr="00D13147">
              <w:rPr>
                <w:rFonts w:ascii="Arial" w:hAnsi="Arial" w:cs="Arial"/>
                <w:lang w:val="en-US"/>
              </w:rPr>
              <w:t>0</w:t>
            </w:r>
          </w:p>
        </w:tc>
        <w:tc>
          <w:tcPr>
            <w:tcW w:w="938" w:type="dxa"/>
            <w:tcBorders>
              <w:top w:val="single" w:sz="12" w:space="0" w:color="auto"/>
            </w:tcBorders>
            <w:noWrap/>
            <w:tcMar>
              <w:top w:w="0" w:type="dxa"/>
              <w:left w:w="108" w:type="dxa"/>
              <w:bottom w:w="0" w:type="dxa"/>
              <w:right w:w="108" w:type="dxa"/>
            </w:tcMar>
            <w:vAlign w:val="bottom"/>
          </w:tcPr>
          <w:p w:rsidR="00E50776" w:rsidRPr="00D13147" w:rsidRDefault="00164AF6" w:rsidP="00F94706">
            <w:pPr>
              <w:jc w:val="right"/>
              <w:rPr>
                <w:rFonts w:ascii="Arial" w:hAnsi="Arial" w:cs="Arial"/>
                <w:i/>
                <w:iCs/>
                <w:lang w:val="en-US"/>
              </w:rPr>
            </w:pPr>
            <w:r>
              <w:rPr>
                <w:rFonts w:ascii="Arial" w:hAnsi="Arial" w:cs="Arial"/>
                <w:i/>
                <w:iCs/>
                <w:lang w:val="uk-UA"/>
              </w:rPr>
              <w:t>4</w:t>
            </w:r>
            <w:r w:rsidR="00E50776" w:rsidRPr="00D13147">
              <w:rPr>
                <w:rFonts w:ascii="Arial" w:hAnsi="Arial" w:cs="Arial"/>
                <w:i/>
                <w:iCs/>
                <w:lang w:val="en-US"/>
              </w:rPr>
              <w:t>%</w:t>
            </w:r>
          </w:p>
        </w:tc>
        <w:tc>
          <w:tcPr>
            <w:tcW w:w="236" w:type="dxa"/>
            <w:tcBorders>
              <w:top w:val="single" w:sz="12" w:space="0" w:color="auto"/>
            </w:tcBorders>
            <w:noWrap/>
            <w:tcMar>
              <w:top w:w="0" w:type="dxa"/>
              <w:left w:w="108" w:type="dxa"/>
              <w:bottom w:w="0" w:type="dxa"/>
              <w:right w:w="108" w:type="dxa"/>
            </w:tcMar>
            <w:vAlign w:val="bottom"/>
          </w:tcPr>
          <w:p w:rsidR="00E50776" w:rsidRPr="00D13147" w:rsidRDefault="00E50776" w:rsidP="00F94706">
            <w:pPr>
              <w:rPr>
                <w:rFonts w:ascii="Arial" w:hAnsi="Arial" w:cs="Arial"/>
                <w:lang w:val="en-US"/>
              </w:rPr>
            </w:pPr>
          </w:p>
        </w:tc>
      </w:tr>
      <w:tr w:rsidR="00E50776" w:rsidRPr="00D13147" w:rsidTr="00E50776">
        <w:trPr>
          <w:trHeight w:val="255"/>
        </w:trPr>
        <w:tc>
          <w:tcPr>
            <w:tcW w:w="3232" w:type="dxa"/>
            <w:noWrap/>
            <w:vAlign w:val="bottom"/>
          </w:tcPr>
          <w:p w:rsidR="00E50776" w:rsidRPr="00D13147" w:rsidRDefault="00E50776" w:rsidP="00F94706">
            <w:pPr>
              <w:rPr>
                <w:rFonts w:ascii="Arial" w:hAnsi="Arial" w:cs="Arial"/>
                <w:lang w:val="nl-NL"/>
              </w:rPr>
            </w:pPr>
            <w:r w:rsidRPr="00D13147">
              <w:rPr>
                <w:rFonts w:ascii="Arial" w:hAnsi="Arial" w:cs="Arial"/>
                <w:lang w:val="nl-NL"/>
              </w:rPr>
              <w:t>Price per 1 kg net VAT, UAH</w:t>
            </w:r>
          </w:p>
        </w:tc>
        <w:tc>
          <w:tcPr>
            <w:tcW w:w="796" w:type="dxa"/>
            <w:vAlign w:val="bottom"/>
          </w:tcPr>
          <w:p w:rsidR="00E50776" w:rsidRPr="00D13147" w:rsidRDefault="00164AF6" w:rsidP="00F94706">
            <w:pPr>
              <w:jc w:val="right"/>
              <w:rPr>
                <w:rFonts w:ascii="Arial" w:hAnsi="Arial" w:cs="Arial"/>
                <w:lang w:val="en-US"/>
              </w:rPr>
            </w:pPr>
            <w:r>
              <w:rPr>
                <w:rFonts w:ascii="Arial" w:hAnsi="Arial" w:cs="Arial"/>
                <w:lang w:val="en-US"/>
              </w:rPr>
              <w:t>29.</w:t>
            </w:r>
            <w:r>
              <w:rPr>
                <w:rFonts w:ascii="Arial" w:hAnsi="Arial" w:cs="Arial"/>
                <w:lang w:val="uk-UA"/>
              </w:rPr>
              <w:t>6</w:t>
            </w:r>
            <w:r w:rsidR="00E50776">
              <w:rPr>
                <w:rFonts w:ascii="Arial" w:hAnsi="Arial" w:cs="Arial"/>
                <w:lang w:val="en-US"/>
              </w:rPr>
              <w:t>0</w:t>
            </w:r>
          </w:p>
        </w:tc>
        <w:tc>
          <w:tcPr>
            <w:tcW w:w="1091" w:type="dxa"/>
            <w:noWrap/>
            <w:tcMar>
              <w:top w:w="0" w:type="dxa"/>
              <w:left w:w="108" w:type="dxa"/>
              <w:bottom w:w="0" w:type="dxa"/>
              <w:right w:w="108" w:type="dxa"/>
            </w:tcMar>
            <w:vAlign w:val="bottom"/>
          </w:tcPr>
          <w:p w:rsidR="00E50776" w:rsidRPr="00D13147" w:rsidRDefault="00E50776" w:rsidP="00F94706">
            <w:pPr>
              <w:jc w:val="right"/>
              <w:rPr>
                <w:rFonts w:ascii="Arial" w:hAnsi="Arial" w:cs="Arial"/>
                <w:lang w:val="en-US"/>
              </w:rPr>
            </w:pPr>
            <w:r>
              <w:rPr>
                <w:rFonts w:ascii="Arial" w:hAnsi="Arial" w:cs="Arial"/>
                <w:lang w:val="en-US"/>
              </w:rPr>
              <w:t>25</w:t>
            </w:r>
            <w:r w:rsidRPr="00D13147">
              <w:rPr>
                <w:rFonts w:ascii="Arial" w:hAnsi="Arial" w:cs="Arial"/>
                <w:lang w:val="en-US"/>
              </w:rPr>
              <w:t>.</w:t>
            </w:r>
            <w:r>
              <w:rPr>
                <w:rFonts w:ascii="Arial" w:hAnsi="Arial" w:cs="Arial"/>
                <w:lang w:val="en-US"/>
              </w:rPr>
              <w:t>35</w:t>
            </w:r>
          </w:p>
        </w:tc>
        <w:tc>
          <w:tcPr>
            <w:tcW w:w="938" w:type="dxa"/>
            <w:noWrap/>
            <w:tcMar>
              <w:top w:w="0" w:type="dxa"/>
              <w:left w:w="108" w:type="dxa"/>
              <w:bottom w:w="0" w:type="dxa"/>
              <w:right w:w="108" w:type="dxa"/>
            </w:tcMar>
            <w:vAlign w:val="bottom"/>
          </w:tcPr>
          <w:p w:rsidR="00E50776" w:rsidRPr="00D13147" w:rsidRDefault="00E50776" w:rsidP="00F94706">
            <w:pPr>
              <w:jc w:val="right"/>
              <w:rPr>
                <w:rFonts w:ascii="Arial" w:hAnsi="Arial" w:cs="Arial"/>
                <w:i/>
                <w:iCs/>
                <w:lang w:val="en-US"/>
              </w:rPr>
            </w:pPr>
            <w:r>
              <w:rPr>
                <w:rFonts w:ascii="Arial" w:hAnsi="Arial" w:cs="Arial"/>
                <w:i/>
                <w:iCs/>
                <w:lang w:val="en-US"/>
              </w:rPr>
              <w:t>17</w:t>
            </w:r>
            <w:r w:rsidRPr="00D13147">
              <w:rPr>
                <w:rFonts w:ascii="Arial" w:hAnsi="Arial" w:cs="Arial"/>
                <w:i/>
                <w:iCs/>
                <w:lang w:val="en-US"/>
              </w:rPr>
              <w:t>%</w:t>
            </w:r>
          </w:p>
        </w:tc>
        <w:tc>
          <w:tcPr>
            <w:tcW w:w="236" w:type="dxa"/>
            <w:noWrap/>
            <w:tcMar>
              <w:top w:w="0" w:type="dxa"/>
              <w:left w:w="108" w:type="dxa"/>
              <w:bottom w:w="0" w:type="dxa"/>
              <w:right w:w="108" w:type="dxa"/>
            </w:tcMar>
            <w:vAlign w:val="bottom"/>
          </w:tcPr>
          <w:p w:rsidR="00E50776" w:rsidRPr="00D13147" w:rsidRDefault="00E50776" w:rsidP="00F94706">
            <w:pPr>
              <w:rPr>
                <w:rFonts w:ascii="Arial" w:hAnsi="Arial" w:cs="Arial"/>
                <w:lang w:val="en-US"/>
              </w:rPr>
            </w:pPr>
          </w:p>
        </w:tc>
      </w:tr>
    </w:tbl>
    <w:p w:rsidR="00E50776" w:rsidRPr="00D13147" w:rsidRDefault="00E50776" w:rsidP="00E50776">
      <w:pPr>
        <w:pStyle w:val="c3"/>
        <w:jc w:val="both"/>
        <w:rPr>
          <w:sz w:val="22"/>
          <w:szCs w:val="22"/>
          <w:lang w:val="en-US"/>
        </w:rPr>
      </w:pPr>
      <w:r w:rsidRPr="00D13147">
        <w:rPr>
          <w:sz w:val="22"/>
          <w:szCs w:val="22"/>
          <w:lang w:val="en-US"/>
        </w:rPr>
        <w:t>Sales of chicken meat to third parties in Q1 201</w:t>
      </w:r>
      <w:r>
        <w:rPr>
          <w:sz w:val="22"/>
          <w:szCs w:val="22"/>
          <w:lang w:val="en-US"/>
        </w:rPr>
        <w:t>6</w:t>
      </w:r>
      <w:r w:rsidRPr="00D13147">
        <w:rPr>
          <w:sz w:val="22"/>
          <w:szCs w:val="22"/>
          <w:lang w:val="en-US"/>
        </w:rPr>
        <w:t xml:space="preserve"> </w:t>
      </w:r>
      <w:r w:rsidR="00164AF6">
        <w:rPr>
          <w:sz w:val="22"/>
          <w:szCs w:val="22"/>
          <w:lang w:val="en-US"/>
        </w:rPr>
        <w:t xml:space="preserve">increased by </w:t>
      </w:r>
      <w:r w:rsidR="00164AF6">
        <w:rPr>
          <w:sz w:val="22"/>
          <w:szCs w:val="22"/>
          <w:lang w:val="uk-UA"/>
        </w:rPr>
        <w:t>4</w:t>
      </w:r>
      <w:r>
        <w:rPr>
          <w:sz w:val="22"/>
          <w:szCs w:val="22"/>
          <w:lang w:val="en-US"/>
        </w:rPr>
        <w:t>% and constituted</w:t>
      </w:r>
      <w:r w:rsidRPr="00D13147">
        <w:rPr>
          <w:sz w:val="22"/>
          <w:szCs w:val="22"/>
          <w:lang w:val="en-US"/>
        </w:rPr>
        <w:t xml:space="preserve"> </w:t>
      </w:r>
      <w:proofErr w:type="gramStart"/>
      <w:r w:rsidR="00164AF6">
        <w:rPr>
          <w:sz w:val="22"/>
          <w:szCs w:val="22"/>
          <w:lang w:val="uk-UA"/>
        </w:rPr>
        <w:t xml:space="preserve">117,716 </w:t>
      </w:r>
      <w:r w:rsidRPr="00D13147">
        <w:rPr>
          <w:sz w:val="22"/>
          <w:szCs w:val="22"/>
          <w:lang w:val="en-US"/>
        </w:rPr>
        <w:t xml:space="preserve"> </w:t>
      </w:r>
      <w:proofErr w:type="spellStart"/>
      <w:r w:rsidRPr="00D13147">
        <w:rPr>
          <w:sz w:val="22"/>
          <w:szCs w:val="22"/>
          <w:lang w:val="en-US"/>
        </w:rPr>
        <w:t>tonnes</w:t>
      </w:r>
      <w:proofErr w:type="spellEnd"/>
      <w:proofErr w:type="gramEnd"/>
      <w:r w:rsidRPr="00D13147">
        <w:rPr>
          <w:sz w:val="22"/>
          <w:szCs w:val="22"/>
          <w:lang w:val="en-US"/>
        </w:rPr>
        <w:t xml:space="preserve"> of chicken meat compared to </w:t>
      </w:r>
      <w:r>
        <w:rPr>
          <w:sz w:val="22"/>
          <w:szCs w:val="22"/>
          <w:lang w:val="en-US"/>
        </w:rPr>
        <w:t>113,640</w:t>
      </w:r>
      <w:r w:rsidRPr="00D13147">
        <w:rPr>
          <w:sz w:val="22"/>
          <w:szCs w:val="22"/>
          <w:lang w:val="en-US"/>
        </w:rPr>
        <w:t xml:space="preserve"> </w:t>
      </w:r>
      <w:proofErr w:type="spellStart"/>
      <w:r w:rsidRPr="00D13147">
        <w:rPr>
          <w:sz w:val="22"/>
          <w:szCs w:val="22"/>
          <w:lang w:val="en-US"/>
        </w:rPr>
        <w:t>tonnes</w:t>
      </w:r>
      <w:proofErr w:type="spellEnd"/>
      <w:r w:rsidRPr="00D13147">
        <w:rPr>
          <w:sz w:val="22"/>
          <w:szCs w:val="22"/>
          <w:lang w:val="en-US"/>
        </w:rPr>
        <w:t xml:space="preserve"> in Q1 201</w:t>
      </w:r>
      <w:r>
        <w:rPr>
          <w:sz w:val="22"/>
          <w:szCs w:val="22"/>
          <w:lang w:val="en-US"/>
        </w:rPr>
        <w:t>5</w:t>
      </w:r>
      <w:r w:rsidRPr="00D13147">
        <w:rPr>
          <w:sz w:val="22"/>
          <w:szCs w:val="22"/>
          <w:lang w:val="en-US"/>
        </w:rPr>
        <w:t xml:space="preserve">. Domestic sales volume </w:t>
      </w:r>
      <w:r>
        <w:rPr>
          <w:sz w:val="22"/>
          <w:szCs w:val="22"/>
          <w:lang w:val="en-US"/>
        </w:rPr>
        <w:t>remained at the same level.</w:t>
      </w:r>
    </w:p>
    <w:p w:rsidR="0085322E" w:rsidRDefault="00E50776" w:rsidP="00E50776">
      <w:pPr>
        <w:pStyle w:val="c3"/>
        <w:jc w:val="both"/>
        <w:rPr>
          <w:sz w:val="22"/>
          <w:szCs w:val="22"/>
          <w:lang w:val="en-US"/>
        </w:rPr>
      </w:pPr>
      <w:r w:rsidRPr="00D13147">
        <w:rPr>
          <w:b/>
          <w:sz w:val="22"/>
          <w:szCs w:val="22"/>
          <w:lang w:val="en-US"/>
        </w:rPr>
        <w:t>Export Sales:</w:t>
      </w:r>
      <w:r>
        <w:rPr>
          <w:sz w:val="22"/>
          <w:szCs w:val="22"/>
          <w:lang w:val="en-US"/>
        </w:rPr>
        <w:t xml:space="preserve"> T</w:t>
      </w:r>
      <w:r w:rsidRPr="00D13147">
        <w:rPr>
          <w:sz w:val="22"/>
          <w:szCs w:val="22"/>
          <w:lang w:val="en-US"/>
        </w:rPr>
        <w:t xml:space="preserve">he Company’s </w:t>
      </w:r>
      <w:r>
        <w:rPr>
          <w:sz w:val="22"/>
          <w:szCs w:val="22"/>
          <w:lang w:val="en-US"/>
        </w:rPr>
        <w:t xml:space="preserve">continues to implement its strategy of </w:t>
      </w:r>
      <w:r w:rsidRPr="00D13147">
        <w:rPr>
          <w:sz w:val="22"/>
          <w:szCs w:val="22"/>
          <w:lang w:val="en-US"/>
        </w:rPr>
        <w:t>export sales</w:t>
      </w:r>
      <w:r>
        <w:rPr>
          <w:sz w:val="22"/>
          <w:szCs w:val="22"/>
          <w:lang w:val="en-US"/>
        </w:rPr>
        <w:t xml:space="preserve"> diversification. Since the beginning of 2016 MHP has been introducing its new strategy of</w:t>
      </w:r>
      <w:r w:rsidR="008D3B23">
        <w:rPr>
          <w:sz w:val="22"/>
          <w:szCs w:val="22"/>
          <w:lang w:val="en-US"/>
        </w:rPr>
        <w:t xml:space="preserve"> control over export volumes, by establishing sales offices in the primary export markets. Sales offices are aimed to build local distribution networks </w:t>
      </w:r>
      <w:r w:rsidR="00D25C9D">
        <w:rPr>
          <w:sz w:val="22"/>
          <w:szCs w:val="22"/>
          <w:lang w:val="en-US"/>
        </w:rPr>
        <w:t>that would build a basis for stable increasing export volumes.</w:t>
      </w:r>
      <w:r w:rsidR="008D3B23">
        <w:rPr>
          <w:sz w:val="22"/>
          <w:szCs w:val="22"/>
          <w:lang w:val="en-US"/>
        </w:rPr>
        <w:t xml:space="preserve"> </w:t>
      </w:r>
      <w:r w:rsidR="0085322E">
        <w:rPr>
          <w:sz w:val="22"/>
          <w:szCs w:val="22"/>
          <w:lang w:val="en-US"/>
        </w:rPr>
        <w:t>In Q1 2016 MHP’s export</w:t>
      </w:r>
      <w:r w:rsidR="00164AF6">
        <w:rPr>
          <w:sz w:val="22"/>
          <w:szCs w:val="22"/>
          <w:lang w:val="en-US"/>
        </w:rPr>
        <w:t>s of chicken meat constituted 3</w:t>
      </w:r>
      <w:r w:rsidR="00164AF6">
        <w:rPr>
          <w:sz w:val="22"/>
          <w:szCs w:val="22"/>
          <w:lang w:val="uk-UA"/>
        </w:rPr>
        <w:t xml:space="preserve">1,970 </w:t>
      </w:r>
      <w:proofErr w:type="spellStart"/>
      <w:r w:rsidR="00164AF6">
        <w:rPr>
          <w:sz w:val="22"/>
          <w:szCs w:val="22"/>
          <w:lang w:val="en-US"/>
        </w:rPr>
        <w:t>tonnes</w:t>
      </w:r>
      <w:proofErr w:type="spellEnd"/>
      <w:r w:rsidR="00164AF6">
        <w:rPr>
          <w:sz w:val="22"/>
          <w:szCs w:val="22"/>
          <w:lang w:val="en-US"/>
        </w:rPr>
        <w:t xml:space="preserve">, which is </w:t>
      </w:r>
      <w:r w:rsidR="00164AF6">
        <w:rPr>
          <w:sz w:val="22"/>
          <w:szCs w:val="22"/>
          <w:lang w:val="uk-UA"/>
        </w:rPr>
        <w:t>23</w:t>
      </w:r>
      <w:r w:rsidR="0085322E">
        <w:rPr>
          <w:sz w:val="22"/>
          <w:szCs w:val="22"/>
          <w:lang w:val="en-US"/>
        </w:rPr>
        <w:t xml:space="preserve">% higher than in the same period last year (Q1 2015: 26,050 </w:t>
      </w:r>
      <w:proofErr w:type="spellStart"/>
      <w:r w:rsidR="0085322E">
        <w:rPr>
          <w:sz w:val="22"/>
          <w:szCs w:val="22"/>
          <w:lang w:val="en-US"/>
        </w:rPr>
        <w:t>tonnes</w:t>
      </w:r>
      <w:proofErr w:type="spellEnd"/>
      <w:r w:rsidR="0085322E">
        <w:rPr>
          <w:sz w:val="22"/>
          <w:szCs w:val="22"/>
          <w:lang w:val="en-US"/>
        </w:rPr>
        <w:t xml:space="preserve">). </w:t>
      </w:r>
      <w:r w:rsidR="00164AF6">
        <w:rPr>
          <w:sz w:val="22"/>
          <w:szCs w:val="22"/>
          <w:lang w:val="en-US"/>
        </w:rPr>
        <w:t>Export sales represented 2</w:t>
      </w:r>
      <w:r w:rsidR="00164AF6">
        <w:rPr>
          <w:sz w:val="22"/>
          <w:szCs w:val="22"/>
          <w:lang w:val="uk-UA"/>
        </w:rPr>
        <w:t>7</w:t>
      </w:r>
      <w:r w:rsidR="00FB3D14">
        <w:rPr>
          <w:sz w:val="22"/>
          <w:szCs w:val="22"/>
          <w:lang w:val="en-US"/>
        </w:rPr>
        <w:t>% of total poultry sales in Q1 2016.</w:t>
      </w:r>
    </w:p>
    <w:p w:rsidR="00E50776" w:rsidRDefault="00371226" w:rsidP="00E50776">
      <w:pPr>
        <w:pStyle w:val="c3"/>
        <w:jc w:val="both"/>
        <w:rPr>
          <w:sz w:val="22"/>
          <w:szCs w:val="22"/>
          <w:lang w:val="en-US"/>
        </w:rPr>
      </w:pPr>
      <w:r>
        <w:rPr>
          <w:sz w:val="22"/>
          <w:szCs w:val="22"/>
          <w:lang w:val="en-US"/>
        </w:rPr>
        <w:lastRenderedPageBreak/>
        <w:t>Despite</w:t>
      </w:r>
      <w:r w:rsidR="0085322E">
        <w:rPr>
          <w:sz w:val="22"/>
          <w:szCs w:val="22"/>
          <w:lang w:val="en-US"/>
        </w:rPr>
        <w:t xml:space="preserve"> decreased</w:t>
      </w:r>
      <w:r>
        <w:rPr>
          <w:sz w:val="22"/>
          <w:szCs w:val="22"/>
          <w:lang w:val="en-US"/>
        </w:rPr>
        <w:t xml:space="preserve"> exports to the CIS region</w:t>
      </w:r>
      <w:r w:rsidR="0085322E">
        <w:rPr>
          <w:sz w:val="22"/>
          <w:szCs w:val="22"/>
          <w:lang w:val="en-US"/>
        </w:rPr>
        <w:t xml:space="preserve"> by almost 30% year-over-year, d</w:t>
      </w:r>
      <w:r w:rsidR="0085322E" w:rsidRPr="00D13147">
        <w:rPr>
          <w:sz w:val="22"/>
          <w:szCs w:val="22"/>
          <w:lang w:val="en-US"/>
        </w:rPr>
        <w:t>uring the reporting period the Company significa</w:t>
      </w:r>
      <w:r>
        <w:rPr>
          <w:sz w:val="22"/>
          <w:szCs w:val="22"/>
          <w:lang w:val="en-US"/>
        </w:rPr>
        <w:t>ntly increased its export sales</w:t>
      </w:r>
      <w:r w:rsidR="0085322E">
        <w:rPr>
          <w:sz w:val="22"/>
          <w:szCs w:val="22"/>
          <w:lang w:val="en-US"/>
        </w:rPr>
        <w:t xml:space="preserve"> to MENA - by around 74%, to the EU - by around 38% and by more than 4 times to Africa.</w:t>
      </w:r>
    </w:p>
    <w:p w:rsidR="00E50776" w:rsidRPr="00D13147" w:rsidRDefault="00E50776" w:rsidP="00E50776">
      <w:pPr>
        <w:pStyle w:val="c3"/>
        <w:jc w:val="both"/>
        <w:rPr>
          <w:sz w:val="22"/>
          <w:szCs w:val="22"/>
          <w:lang w:val="en-US"/>
        </w:rPr>
      </w:pPr>
      <w:r w:rsidRPr="00051887">
        <w:rPr>
          <w:b/>
          <w:sz w:val="22"/>
          <w:szCs w:val="22"/>
        </w:rPr>
        <w:t>Prices:</w:t>
      </w:r>
      <w:r>
        <w:rPr>
          <w:sz w:val="22"/>
          <w:szCs w:val="22"/>
        </w:rPr>
        <w:t xml:space="preserve"> </w:t>
      </w:r>
      <w:r w:rsidRPr="00D13147">
        <w:rPr>
          <w:sz w:val="22"/>
          <w:szCs w:val="22"/>
        </w:rPr>
        <w:t>The average chicken meat price through the</w:t>
      </w:r>
      <w:r w:rsidRPr="00D13147">
        <w:rPr>
          <w:sz w:val="22"/>
          <w:szCs w:val="22"/>
          <w:lang w:val="en-US"/>
        </w:rPr>
        <w:t xml:space="preserve"> first quarter of 201</w:t>
      </w:r>
      <w:r w:rsidR="00E13A8B">
        <w:rPr>
          <w:sz w:val="22"/>
          <w:szCs w:val="22"/>
          <w:lang w:val="en-US"/>
        </w:rPr>
        <w:t>6</w:t>
      </w:r>
      <w:r w:rsidRPr="00D13147">
        <w:rPr>
          <w:sz w:val="22"/>
          <w:szCs w:val="22"/>
          <w:lang w:val="en-US"/>
        </w:rPr>
        <w:t xml:space="preserve"> </w:t>
      </w:r>
      <w:r>
        <w:rPr>
          <w:sz w:val="22"/>
          <w:szCs w:val="22"/>
          <w:lang w:val="en-US"/>
        </w:rPr>
        <w:t xml:space="preserve">increased by </w:t>
      </w:r>
      <w:r w:rsidR="00FB3D14">
        <w:rPr>
          <w:sz w:val="22"/>
          <w:szCs w:val="22"/>
          <w:lang w:val="en-US"/>
        </w:rPr>
        <w:t>17</w:t>
      </w:r>
      <w:r>
        <w:rPr>
          <w:sz w:val="22"/>
          <w:szCs w:val="22"/>
          <w:lang w:val="en-US"/>
        </w:rPr>
        <w:t>% to UAH</w:t>
      </w:r>
      <w:r w:rsidR="00164AF6">
        <w:rPr>
          <w:sz w:val="22"/>
          <w:szCs w:val="22"/>
          <w:lang w:val="en-US"/>
        </w:rPr>
        <w:t xml:space="preserve"> 29.</w:t>
      </w:r>
      <w:r w:rsidR="00164AF6">
        <w:rPr>
          <w:sz w:val="22"/>
          <w:szCs w:val="22"/>
          <w:lang w:val="uk-UA"/>
        </w:rPr>
        <w:t>6</w:t>
      </w:r>
      <w:r w:rsidR="00FB3D14">
        <w:rPr>
          <w:sz w:val="22"/>
          <w:szCs w:val="22"/>
          <w:lang w:val="en-US"/>
        </w:rPr>
        <w:t>0</w:t>
      </w:r>
      <w:r w:rsidRPr="006D350A">
        <w:rPr>
          <w:sz w:val="22"/>
          <w:szCs w:val="22"/>
          <w:lang w:val="en-US"/>
        </w:rPr>
        <w:t xml:space="preserve"> per kg </w:t>
      </w:r>
      <w:r w:rsidRPr="00D13147">
        <w:rPr>
          <w:sz w:val="22"/>
          <w:szCs w:val="22"/>
          <w:lang w:val="en-US"/>
        </w:rPr>
        <w:t xml:space="preserve">(excluding VAT) </w:t>
      </w:r>
      <w:r w:rsidR="00FB3D14">
        <w:rPr>
          <w:sz w:val="22"/>
          <w:szCs w:val="22"/>
          <w:lang w:val="en-US"/>
        </w:rPr>
        <w:t xml:space="preserve">compared to the same period last year and remained </w:t>
      </w:r>
      <w:r w:rsidR="00371226">
        <w:rPr>
          <w:sz w:val="22"/>
          <w:szCs w:val="22"/>
          <w:lang w:val="en-US"/>
        </w:rPr>
        <w:t xml:space="preserve">almost </w:t>
      </w:r>
      <w:r w:rsidR="00FB3D14">
        <w:rPr>
          <w:sz w:val="22"/>
          <w:szCs w:val="22"/>
          <w:lang w:val="en-US"/>
        </w:rPr>
        <w:t xml:space="preserve">at the same level as in Q4 2015. The increase in price year-over-year is mainly driven by the increased prices on the domestic market. </w:t>
      </w:r>
    </w:p>
    <w:p w:rsidR="00E50776" w:rsidRPr="00D13147" w:rsidRDefault="00E50776" w:rsidP="00E50776">
      <w:pPr>
        <w:pStyle w:val="c3"/>
        <w:jc w:val="both"/>
        <w:rPr>
          <w:sz w:val="22"/>
          <w:szCs w:val="22"/>
          <w:lang w:val="en-US"/>
        </w:rPr>
      </w:pPr>
      <w:r w:rsidRPr="00D13147">
        <w:rPr>
          <w:b/>
          <w:sz w:val="22"/>
          <w:szCs w:val="22"/>
          <w:lang w:val="en-US"/>
        </w:rPr>
        <w:t>Oil Sales</w:t>
      </w:r>
      <w:r w:rsidRPr="00D13147">
        <w:rPr>
          <w:sz w:val="22"/>
          <w:szCs w:val="22"/>
          <w:lang w:val="en-US"/>
        </w:rPr>
        <w:t xml:space="preserve"> </w:t>
      </w:r>
    </w:p>
    <w:tbl>
      <w:tblPr>
        <w:tblW w:w="7039" w:type="dxa"/>
        <w:tblCellMar>
          <w:left w:w="0" w:type="dxa"/>
          <w:right w:w="0" w:type="dxa"/>
        </w:tblCellMar>
        <w:tblLook w:val="0000" w:firstRow="0" w:lastRow="0" w:firstColumn="0" w:lastColumn="0" w:noHBand="0" w:noVBand="0"/>
      </w:tblPr>
      <w:tblGrid>
        <w:gridCol w:w="3277"/>
        <w:gridCol w:w="1026"/>
        <w:gridCol w:w="1562"/>
        <w:gridCol w:w="938"/>
        <w:gridCol w:w="236"/>
      </w:tblGrid>
      <w:tr w:rsidR="00E50776" w:rsidRPr="00D13147" w:rsidTr="00790859">
        <w:trPr>
          <w:trHeight w:val="510"/>
        </w:trPr>
        <w:tc>
          <w:tcPr>
            <w:tcW w:w="3261" w:type="dxa"/>
            <w:tcBorders>
              <w:bottom w:val="single" w:sz="12" w:space="0" w:color="auto"/>
            </w:tcBorders>
            <w:noWrap/>
            <w:vAlign w:val="bottom"/>
          </w:tcPr>
          <w:p w:rsidR="00E50776" w:rsidRPr="00D13147" w:rsidRDefault="00E161EF" w:rsidP="00F94706">
            <w:pPr>
              <w:rPr>
                <w:rFonts w:ascii="Arial" w:hAnsi="Arial" w:cs="Arial"/>
              </w:rPr>
            </w:pPr>
            <w:r w:rsidRPr="00D13147">
              <w:rPr>
                <w:rFonts w:ascii="Arial" w:hAnsi="Arial" w:cs="Arial"/>
              </w:rPr>
              <w:t xml:space="preserve"> </w:t>
            </w:r>
            <w:proofErr w:type="spellStart"/>
            <w:r w:rsidRPr="00D13147">
              <w:rPr>
                <w:rFonts w:ascii="Arial" w:hAnsi="Arial" w:cs="Arial"/>
              </w:rPr>
              <w:t>Sales</w:t>
            </w:r>
            <w:proofErr w:type="spellEnd"/>
            <w:r w:rsidRPr="00D13147">
              <w:rPr>
                <w:rFonts w:ascii="Arial" w:hAnsi="Arial" w:cs="Arial"/>
              </w:rPr>
              <w:t xml:space="preserve"> </w:t>
            </w:r>
            <w:proofErr w:type="spellStart"/>
            <w:r w:rsidRPr="00D13147">
              <w:rPr>
                <w:rFonts w:ascii="Arial" w:hAnsi="Arial" w:cs="Arial"/>
              </w:rPr>
              <w:t>volume</w:t>
            </w:r>
            <w:proofErr w:type="spellEnd"/>
            <w:r w:rsidRPr="00D13147">
              <w:rPr>
                <w:rFonts w:ascii="Arial" w:hAnsi="Arial" w:cs="Arial"/>
              </w:rPr>
              <w:t xml:space="preserve">, </w:t>
            </w:r>
            <w:proofErr w:type="spellStart"/>
            <w:r w:rsidRPr="00D13147">
              <w:rPr>
                <w:rFonts w:ascii="Arial" w:hAnsi="Arial" w:cs="Arial"/>
              </w:rPr>
              <w:t>tonnes</w:t>
            </w:r>
            <w:proofErr w:type="spellEnd"/>
          </w:p>
        </w:tc>
        <w:tc>
          <w:tcPr>
            <w:tcW w:w="1042" w:type="dxa"/>
            <w:tcBorders>
              <w:bottom w:val="single" w:sz="12" w:space="0" w:color="auto"/>
            </w:tcBorders>
            <w:vAlign w:val="bottom"/>
          </w:tcPr>
          <w:p w:rsidR="00E50776" w:rsidRPr="006D350A" w:rsidRDefault="00E50776" w:rsidP="00FB3D14">
            <w:pPr>
              <w:jc w:val="right"/>
              <w:rPr>
                <w:rFonts w:ascii="Arial" w:hAnsi="Arial" w:cs="Arial"/>
                <w:b/>
                <w:bCs/>
              </w:rPr>
            </w:pPr>
            <w:r w:rsidRPr="00D13147">
              <w:rPr>
                <w:rFonts w:ascii="Arial" w:hAnsi="Arial" w:cs="Arial"/>
                <w:b/>
                <w:bCs/>
              </w:rPr>
              <w:t xml:space="preserve">Q1 </w:t>
            </w:r>
            <w:r w:rsidRPr="00D13147">
              <w:rPr>
                <w:rFonts w:ascii="Arial" w:hAnsi="Arial" w:cs="Arial"/>
                <w:b/>
                <w:bCs/>
                <w:lang w:val="en-US"/>
              </w:rPr>
              <w:t xml:space="preserve">  </w:t>
            </w:r>
            <w:r w:rsidRPr="00D13147">
              <w:rPr>
                <w:rFonts w:ascii="Arial" w:hAnsi="Arial" w:cs="Arial"/>
                <w:b/>
                <w:bCs/>
              </w:rPr>
              <w:t>201</w:t>
            </w:r>
            <w:r w:rsidR="00FB3D14">
              <w:rPr>
                <w:rFonts w:ascii="Arial" w:hAnsi="Arial" w:cs="Arial"/>
                <w:b/>
                <w:bCs/>
              </w:rPr>
              <w:t>6</w:t>
            </w:r>
          </w:p>
        </w:tc>
        <w:tc>
          <w:tcPr>
            <w:tcW w:w="1562" w:type="dxa"/>
            <w:tcBorders>
              <w:bottom w:val="single" w:sz="12" w:space="0" w:color="auto"/>
            </w:tcBorders>
            <w:noWrap/>
            <w:tcMar>
              <w:top w:w="0" w:type="dxa"/>
              <w:left w:w="108" w:type="dxa"/>
              <w:bottom w:w="0" w:type="dxa"/>
              <w:right w:w="108" w:type="dxa"/>
            </w:tcMar>
            <w:vAlign w:val="bottom"/>
          </w:tcPr>
          <w:p w:rsidR="00E50776" w:rsidRPr="00D13147" w:rsidRDefault="00E50776" w:rsidP="00FB3D14">
            <w:pPr>
              <w:jc w:val="right"/>
              <w:rPr>
                <w:rFonts w:ascii="Arial" w:hAnsi="Arial" w:cs="Arial"/>
                <w:b/>
                <w:bCs/>
              </w:rPr>
            </w:pPr>
            <w:r w:rsidRPr="00D13147">
              <w:rPr>
                <w:rFonts w:ascii="Arial" w:hAnsi="Arial" w:cs="Arial"/>
                <w:b/>
                <w:bCs/>
              </w:rPr>
              <w:t>Q1 201</w:t>
            </w:r>
            <w:r w:rsidR="00FB3D14">
              <w:rPr>
                <w:rFonts w:ascii="Arial" w:hAnsi="Arial" w:cs="Arial"/>
                <w:b/>
                <w:bCs/>
              </w:rPr>
              <w:t>5</w:t>
            </w:r>
          </w:p>
        </w:tc>
        <w:tc>
          <w:tcPr>
            <w:tcW w:w="938" w:type="dxa"/>
            <w:tcBorders>
              <w:bottom w:val="single" w:sz="12" w:space="0" w:color="auto"/>
            </w:tcBorders>
            <w:tcMar>
              <w:top w:w="0" w:type="dxa"/>
              <w:left w:w="108" w:type="dxa"/>
              <w:bottom w:w="0" w:type="dxa"/>
              <w:right w:w="108" w:type="dxa"/>
            </w:tcMar>
            <w:vAlign w:val="bottom"/>
          </w:tcPr>
          <w:p w:rsidR="00E50776" w:rsidRPr="00D13147" w:rsidRDefault="00E50776" w:rsidP="00F94706">
            <w:pPr>
              <w:jc w:val="right"/>
              <w:rPr>
                <w:rFonts w:ascii="Arial" w:hAnsi="Arial" w:cs="Arial"/>
                <w:i/>
                <w:iCs/>
              </w:rPr>
            </w:pPr>
            <w:r w:rsidRPr="00D13147">
              <w:rPr>
                <w:rFonts w:ascii="Arial" w:hAnsi="Arial" w:cs="Arial"/>
                <w:i/>
                <w:iCs/>
              </w:rPr>
              <w:t xml:space="preserve">% </w:t>
            </w:r>
            <w:proofErr w:type="spellStart"/>
            <w:r w:rsidRPr="00D13147">
              <w:rPr>
                <w:rFonts w:ascii="Arial" w:hAnsi="Arial" w:cs="Arial"/>
                <w:i/>
                <w:iCs/>
              </w:rPr>
              <w:t>change</w:t>
            </w:r>
            <w:proofErr w:type="spellEnd"/>
          </w:p>
        </w:tc>
        <w:tc>
          <w:tcPr>
            <w:tcW w:w="236" w:type="dxa"/>
            <w:tcBorders>
              <w:bottom w:val="single" w:sz="12" w:space="0" w:color="auto"/>
            </w:tcBorders>
            <w:noWrap/>
            <w:tcMar>
              <w:top w:w="0" w:type="dxa"/>
              <w:left w:w="108" w:type="dxa"/>
              <w:bottom w:w="0" w:type="dxa"/>
              <w:right w:w="108" w:type="dxa"/>
            </w:tcMar>
            <w:vAlign w:val="bottom"/>
          </w:tcPr>
          <w:p w:rsidR="00E50776" w:rsidRPr="00D13147" w:rsidRDefault="00E50776" w:rsidP="00F94706">
            <w:pPr>
              <w:jc w:val="center"/>
              <w:rPr>
                <w:rFonts w:ascii="Arial" w:hAnsi="Arial" w:cs="Arial"/>
              </w:rPr>
            </w:pPr>
          </w:p>
        </w:tc>
      </w:tr>
      <w:tr w:rsidR="00E50776" w:rsidRPr="00D13147" w:rsidTr="00790859">
        <w:trPr>
          <w:trHeight w:val="255"/>
        </w:trPr>
        <w:tc>
          <w:tcPr>
            <w:tcW w:w="3261" w:type="dxa"/>
            <w:noWrap/>
            <w:vAlign w:val="bottom"/>
          </w:tcPr>
          <w:p w:rsidR="00E50776" w:rsidRPr="00790859" w:rsidRDefault="00E161EF" w:rsidP="00F94706">
            <w:pPr>
              <w:rPr>
                <w:rFonts w:ascii="Arial" w:hAnsi="Arial" w:cs="Arial"/>
                <w:lang w:val="en-US"/>
              </w:rPr>
            </w:pPr>
            <w:r>
              <w:rPr>
                <w:rFonts w:ascii="Arial" w:hAnsi="Arial" w:cs="Arial"/>
                <w:lang w:val="en-US"/>
              </w:rPr>
              <w:t>Sunflower oil</w:t>
            </w:r>
          </w:p>
        </w:tc>
        <w:tc>
          <w:tcPr>
            <w:tcW w:w="1042" w:type="dxa"/>
            <w:vAlign w:val="bottom"/>
          </w:tcPr>
          <w:p w:rsidR="00E50776" w:rsidRPr="00790859" w:rsidRDefault="00FB3D14" w:rsidP="00F94706">
            <w:pPr>
              <w:jc w:val="right"/>
              <w:rPr>
                <w:rFonts w:ascii="Arial" w:hAnsi="Arial" w:cs="Arial"/>
              </w:rPr>
            </w:pPr>
            <w:r>
              <w:rPr>
                <w:rFonts w:ascii="Arial" w:hAnsi="Arial" w:cs="Arial"/>
                <w:lang w:val="en-US"/>
              </w:rPr>
              <w:t>82,745</w:t>
            </w:r>
          </w:p>
        </w:tc>
        <w:tc>
          <w:tcPr>
            <w:tcW w:w="1562" w:type="dxa"/>
            <w:noWrap/>
            <w:tcMar>
              <w:top w:w="0" w:type="dxa"/>
              <w:left w:w="108" w:type="dxa"/>
              <w:bottom w:w="0" w:type="dxa"/>
              <w:right w:w="108" w:type="dxa"/>
            </w:tcMar>
            <w:vAlign w:val="bottom"/>
          </w:tcPr>
          <w:p w:rsidR="00E50776" w:rsidRPr="00D13147" w:rsidRDefault="00E13A8B" w:rsidP="00F94706">
            <w:pPr>
              <w:jc w:val="right"/>
              <w:rPr>
                <w:rFonts w:ascii="Arial" w:hAnsi="Arial" w:cs="Arial"/>
                <w:lang w:val="en-US"/>
              </w:rPr>
            </w:pPr>
            <w:r>
              <w:rPr>
                <w:rFonts w:ascii="Arial" w:hAnsi="Arial" w:cs="Arial"/>
              </w:rPr>
              <w:t>66,769</w:t>
            </w:r>
          </w:p>
        </w:tc>
        <w:tc>
          <w:tcPr>
            <w:tcW w:w="938" w:type="dxa"/>
            <w:tcBorders>
              <w:top w:val="single" w:sz="12" w:space="0" w:color="auto"/>
            </w:tcBorders>
            <w:noWrap/>
            <w:tcMar>
              <w:top w:w="0" w:type="dxa"/>
              <w:left w:w="108" w:type="dxa"/>
              <w:bottom w:w="0" w:type="dxa"/>
              <w:right w:w="108" w:type="dxa"/>
            </w:tcMar>
            <w:vAlign w:val="bottom"/>
          </w:tcPr>
          <w:p w:rsidR="00E50776" w:rsidRPr="00D13147" w:rsidRDefault="00E13A8B" w:rsidP="00F94706">
            <w:pPr>
              <w:jc w:val="right"/>
              <w:rPr>
                <w:rFonts w:ascii="Arial" w:hAnsi="Arial" w:cs="Arial"/>
                <w:i/>
                <w:iCs/>
              </w:rPr>
            </w:pPr>
            <w:r>
              <w:rPr>
                <w:rFonts w:ascii="Arial" w:hAnsi="Arial" w:cs="Arial"/>
                <w:i/>
                <w:iCs/>
              </w:rPr>
              <w:t>24</w:t>
            </w:r>
            <w:r w:rsidR="00E50776" w:rsidRPr="00D13147">
              <w:rPr>
                <w:rFonts w:ascii="Arial" w:hAnsi="Arial" w:cs="Arial"/>
                <w:i/>
                <w:iCs/>
              </w:rPr>
              <w:t>%</w:t>
            </w:r>
          </w:p>
        </w:tc>
        <w:tc>
          <w:tcPr>
            <w:tcW w:w="236" w:type="dxa"/>
            <w:tcBorders>
              <w:top w:val="single" w:sz="12" w:space="0" w:color="auto"/>
            </w:tcBorders>
            <w:noWrap/>
            <w:tcMar>
              <w:top w:w="0" w:type="dxa"/>
              <w:left w:w="108" w:type="dxa"/>
              <w:bottom w:w="0" w:type="dxa"/>
              <w:right w:w="108" w:type="dxa"/>
            </w:tcMar>
            <w:vAlign w:val="bottom"/>
          </w:tcPr>
          <w:p w:rsidR="00E50776" w:rsidRPr="00D13147" w:rsidRDefault="00E50776" w:rsidP="00F94706">
            <w:pPr>
              <w:jc w:val="center"/>
              <w:rPr>
                <w:rFonts w:ascii="Arial" w:hAnsi="Arial" w:cs="Arial"/>
              </w:rPr>
            </w:pPr>
          </w:p>
        </w:tc>
      </w:tr>
      <w:tr w:rsidR="00E50776" w:rsidRPr="00D13147" w:rsidTr="00790859">
        <w:trPr>
          <w:trHeight w:val="255"/>
        </w:trPr>
        <w:tc>
          <w:tcPr>
            <w:tcW w:w="3261" w:type="dxa"/>
            <w:noWrap/>
            <w:vAlign w:val="bottom"/>
          </w:tcPr>
          <w:p w:rsidR="00E50776" w:rsidRPr="00D13147" w:rsidRDefault="00562B5A" w:rsidP="00F94706">
            <w:pPr>
              <w:rPr>
                <w:rFonts w:ascii="Arial" w:hAnsi="Arial" w:cs="Arial"/>
                <w:lang w:val="nl-NL"/>
              </w:rPr>
            </w:pPr>
            <w:r>
              <w:rPr>
                <w:rFonts w:ascii="Arial" w:hAnsi="Arial" w:cs="Arial"/>
                <w:lang w:val="nl-NL"/>
              </w:rPr>
              <w:t>Soy</w:t>
            </w:r>
            <w:r w:rsidR="00E161EF">
              <w:rPr>
                <w:rFonts w:ascii="Arial" w:hAnsi="Arial" w:cs="Arial"/>
                <w:lang w:val="nl-NL"/>
              </w:rPr>
              <w:t>bean oil</w:t>
            </w:r>
          </w:p>
        </w:tc>
        <w:tc>
          <w:tcPr>
            <w:tcW w:w="1042" w:type="dxa"/>
            <w:vAlign w:val="bottom"/>
          </w:tcPr>
          <w:p w:rsidR="00E50776" w:rsidRPr="00D13147" w:rsidRDefault="00E161EF" w:rsidP="00F94706">
            <w:pPr>
              <w:jc w:val="right"/>
              <w:rPr>
                <w:rFonts w:ascii="Arial" w:hAnsi="Arial" w:cs="Arial"/>
                <w:lang w:val="en-US"/>
              </w:rPr>
            </w:pPr>
            <w:r>
              <w:rPr>
                <w:rFonts w:ascii="Arial" w:hAnsi="Arial" w:cs="Arial"/>
                <w:lang w:val="en-US"/>
              </w:rPr>
              <w:t>8,150</w:t>
            </w:r>
          </w:p>
        </w:tc>
        <w:tc>
          <w:tcPr>
            <w:tcW w:w="1562" w:type="dxa"/>
            <w:noWrap/>
            <w:tcMar>
              <w:top w:w="0" w:type="dxa"/>
              <w:left w:w="108" w:type="dxa"/>
              <w:bottom w:w="0" w:type="dxa"/>
              <w:right w:w="108" w:type="dxa"/>
            </w:tcMar>
            <w:vAlign w:val="bottom"/>
          </w:tcPr>
          <w:p w:rsidR="00E50776" w:rsidRPr="00D13147" w:rsidRDefault="00E161EF" w:rsidP="00F94706">
            <w:pPr>
              <w:jc w:val="right"/>
              <w:rPr>
                <w:rFonts w:ascii="Arial" w:hAnsi="Arial" w:cs="Arial"/>
                <w:lang w:val="en-US"/>
              </w:rPr>
            </w:pPr>
            <w:r>
              <w:rPr>
                <w:rFonts w:ascii="Arial" w:hAnsi="Arial" w:cs="Arial"/>
                <w:lang w:val="en-US"/>
              </w:rPr>
              <w:t>n/a</w:t>
            </w:r>
          </w:p>
        </w:tc>
        <w:tc>
          <w:tcPr>
            <w:tcW w:w="938" w:type="dxa"/>
            <w:noWrap/>
            <w:tcMar>
              <w:top w:w="0" w:type="dxa"/>
              <w:left w:w="108" w:type="dxa"/>
              <w:bottom w:w="0" w:type="dxa"/>
              <w:right w:w="108" w:type="dxa"/>
            </w:tcMar>
            <w:vAlign w:val="bottom"/>
          </w:tcPr>
          <w:p w:rsidR="00E50776" w:rsidRPr="00790859" w:rsidRDefault="00E161EF" w:rsidP="00E161EF">
            <w:pPr>
              <w:jc w:val="right"/>
              <w:rPr>
                <w:rFonts w:ascii="Arial" w:hAnsi="Arial" w:cs="Arial"/>
                <w:i/>
                <w:iCs/>
                <w:lang w:val="en-US"/>
              </w:rPr>
            </w:pPr>
            <w:r>
              <w:rPr>
                <w:rFonts w:ascii="Arial" w:hAnsi="Arial" w:cs="Arial"/>
                <w:i/>
                <w:iCs/>
                <w:lang w:val="en-US"/>
              </w:rPr>
              <w:t>n/a</w:t>
            </w:r>
          </w:p>
        </w:tc>
        <w:tc>
          <w:tcPr>
            <w:tcW w:w="236" w:type="dxa"/>
            <w:noWrap/>
            <w:tcMar>
              <w:top w:w="0" w:type="dxa"/>
              <w:left w:w="108" w:type="dxa"/>
              <w:bottom w:w="0" w:type="dxa"/>
              <w:right w:w="108" w:type="dxa"/>
            </w:tcMar>
            <w:vAlign w:val="bottom"/>
          </w:tcPr>
          <w:p w:rsidR="00E50776" w:rsidRPr="00D13147" w:rsidRDefault="00E50776" w:rsidP="00F94706">
            <w:pPr>
              <w:jc w:val="center"/>
              <w:rPr>
                <w:rFonts w:ascii="Arial" w:hAnsi="Arial" w:cs="Arial"/>
              </w:rPr>
            </w:pPr>
          </w:p>
        </w:tc>
      </w:tr>
    </w:tbl>
    <w:p w:rsidR="00E50776" w:rsidRPr="00D13147" w:rsidRDefault="00E50776" w:rsidP="00E50776">
      <w:pPr>
        <w:pStyle w:val="a5"/>
        <w:jc w:val="both"/>
        <w:rPr>
          <w:rFonts w:ascii="Arial" w:hAnsi="Arial" w:cs="Arial"/>
          <w:sz w:val="22"/>
          <w:szCs w:val="22"/>
          <w:lang w:val="en-US" w:eastAsia="ru-RU"/>
        </w:rPr>
      </w:pPr>
    </w:p>
    <w:p w:rsidR="00562B5A" w:rsidRDefault="00E50776" w:rsidP="00E50776">
      <w:pPr>
        <w:pStyle w:val="a5"/>
        <w:jc w:val="both"/>
        <w:rPr>
          <w:rFonts w:ascii="Arial" w:hAnsi="Arial" w:cs="Arial"/>
          <w:sz w:val="22"/>
          <w:szCs w:val="22"/>
          <w:lang w:val="en-US" w:eastAsia="ru-RU"/>
        </w:rPr>
      </w:pPr>
      <w:r>
        <w:rPr>
          <w:rFonts w:ascii="Arial" w:hAnsi="Arial" w:cs="Arial"/>
          <w:sz w:val="22"/>
          <w:szCs w:val="22"/>
          <w:lang w:val="en-US" w:eastAsia="ru-RU"/>
        </w:rPr>
        <w:t>In Q1 201</w:t>
      </w:r>
      <w:r w:rsidR="00CE240B">
        <w:rPr>
          <w:rFonts w:ascii="Arial" w:hAnsi="Arial" w:cs="Arial"/>
          <w:sz w:val="22"/>
          <w:szCs w:val="22"/>
          <w:lang w:val="en-US" w:eastAsia="ru-RU"/>
        </w:rPr>
        <w:t>6</w:t>
      </w:r>
      <w:r w:rsidRPr="00D13147">
        <w:rPr>
          <w:rFonts w:ascii="Arial" w:hAnsi="Arial" w:cs="Arial"/>
          <w:sz w:val="22"/>
          <w:szCs w:val="22"/>
          <w:lang w:val="en-US" w:eastAsia="ru-RU"/>
        </w:rPr>
        <w:t>, due to increased production of fodder for chicken, MHP’s sales of sunflower oil increased</w:t>
      </w:r>
      <w:r w:rsidR="00E13A8B" w:rsidRPr="00790859">
        <w:rPr>
          <w:rFonts w:ascii="Arial" w:hAnsi="Arial" w:cs="Arial"/>
          <w:sz w:val="22"/>
          <w:szCs w:val="22"/>
          <w:lang w:val="en-US" w:eastAsia="ru-RU"/>
        </w:rPr>
        <w:t xml:space="preserve"> </w:t>
      </w:r>
      <w:r w:rsidR="00E13A8B">
        <w:rPr>
          <w:rFonts w:ascii="Arial" w:hAnsi="Arial" w:cs="Arial"/>
          <w:sz w:val="22"/>
          <w:szCs w:val="22"/>
          <w:lang w:val="en-US" w:eastAsia="ru-RU"/>
        </w:rPr>
        <w:t>by</w:t>
      </w:r>
      <w:r w:rsidRPr="00D13147">
        <w:rPr>
          <w:rFonts w:ascii="Arial" w:hAnsi="Arial" w:cs="Arial"/>
          <w:sz w:val="22"/>
          <w:szCs w:val="22"/>
          <w:lang w:val="en-US" w:eastAsia="ru-RU"/>
        </w:rPr>
        <w:t xml:space="preserve"> </w:t>
      </w:r>
      <w:r w:rsidR="00371226">
        <w:rPr>
          <w:rFonts w:ascii="Arial" w:hAnsi="Arial" w:cs="Arial"/>
          <w:sz w:val="22"/>
          <w:szCs w:val="22"/>
          <w:lang w:val="en-US" w:eastAsia="ru-RU"/>
        </w:rPr>
        <w:t>24</w:t>
      </w:r>
      <w:r>
        <w:rPr>
          <w:rFonts w:ascii="Arial" w:hAnsi="Arial" w:cs="Arial"/>
          <w:sz w:val="22"/>
          <w:szCs w:val="22"/>
          <w:lang w:val="en-US" w:eastAsia="ru-RU"/>
        </w:rPr>
        <w:t xml:space="preserve">% to </w:t>
      </w:r>
      <w:r w:rsidR="00CE240B">
        <w:rPr>
          <w:rFonts w:ascii="Arial" w:hAnsi="Arial" w:cs="Arial"/>
          <w:sz w:val="22"/>
          <w:szCs w:val="22"/>
          <w:lang w:val="en-US" w:eastAsia="ru-RU"/>
        </w:rPr>
        <w:t>82,745</w:t>
      </w:r>
      <w:r w:rsidRPr="00D13147">
        <w:rPr>
          <w:rFonts w:ascii="Arial" w:hAnsi="Arial" w:cs="Arial"/>
          <w:sz w:val="22"/>
          <w:szCs w:val="22"/>
          <w:lang w:val="en-US" w:eastAsia="ru-RU"/>
        </w:rPr>
        <w:t xml:space="preserve"> </w:t>
      </w:r>
      <w:proofErr w:type="spellStart"/>
      <w:r w:rsidRPr="00D13147">
        <w:rPr>
          <w:rFonts w:ascii="Arial" w:hAnsi="Arial" w:cs="Arial"/>
          <w:sz w:val="22"/>
          <w:szCs w:val="22"/>
          <w:lang w:val="en-US" w:eastAsia="ru-RU"/>
        </w:rPr>
        <w:t>tonnes</w:t>
      </w:r>
      <w:proofErr w:type="spellEnd"/>
      <w:r w:rsidRPr="00D13147">
        <w:rPr>
          <w:rFonts w:ascii="Arial" w:hAnsi="Arial" w:cs="Arial"/>
          <w:sz w:val="22"/>
          <w:szCs w:val="22"/>
          <w:lang w:val="en-US" w:eastAsia="ru-RU"/>
        </w:rPr>
        <w:t xml:space="preserve"> compared to </w:t>
      </w:r>
      <w:r w:rsidR="00E13A8B">
        <w:rPr>
          <w:rFonts w:ascii="Arial" w:hAnsi="Arial" w:cs="Arial"/>
          <w:sz w:val="22"/>
          <w:szCs w:val="22"/>
          <w:lang w:val="en-US" w:eastAsia="ru-RU"/>
        </w:rPr>
        <w:t>66</w:t>
      </w:r>
      <w:r w:rsidR="00CE240B" w:rsidRPr="00D13147">
        <w:rPr>
          <w:rFonts w:ascii="Arial" w:hAnsi="Arial" w:cs="Arial"/>
          <w:sz w:val="22"/>
          <w:szCs w:val="22"/>
          <w:lang w:val="en-US" w:eastAsia="ru-RU"/>
        </w:rPr>
        <w:t>,</w:t>
      </w:r>
      <w:r w:rsidR="00CE240B">
        <w:rPr>
          <w:rFonts w:ascii="Arial" w:hAnsi="Arial" w:cs="Arial"/>
          <w:sz w:val="22"/>
          <w:szCs w:val="22"/>
          <w:lang w:val="en-US" w:eastAsia="ru-RU"/>
        </w:rPr>
        <w:t>76</w:t>
      </w:r>
      <w:r w:rsidR="00E13A8B">
        <w:rPr>
          <w:rFonts w:ascii="Arial" w:hAnsi="Arial" w:cs="Arial"/>
          <w:sz w:val="22"/>
          <w:szCs w:val="22"/>
          <w:lang w:val="en-US" w:eastAsia="ru-RU"/>
        </w:rPr>
        <w:t>9</w:t>
      </w:r>
      <w:r w:rsidR="00CE240B">
        <w:rPr>
          <w:rFonts w:ascii="Arial" w:hAnsi="Arial" w:cs="Arial"/>
          <w:sz w:val="22"/>
          <w:szCs w:val="22"/>
          <w:lang w:val="en-US" w:eastAsia="ru-RU"/>
        </w:rPr>
        <w:t xml:space="preserve"> </w:t>
      </w:r>
      <w:proofErr w:type="spellStart"/>
      <w:r w:rsidRPr="00D13147">
        <w:rPr>
          <w:rFonts w:ascii="Arial" w:hAnsi="Arial" w:cs="Arial"/>
          <w:sz w:val="22"/>
          <w:szCs w:val="22"/>
          <w:lang w:val="en-US" w:eastAsia="ru-RU"/>
        </w:rPr>
        <w:t>tonnes</w:t>
      </w:r>
      <w:proofErr w:type="spellEnd"/>
      <w:r w:rsidRPr="00D13147">
        <w:rPr>
          <w:rFonts w:ascii="Arial" w:hAnsi="Arial" w:cs="Arial"/>
          <w:sz w:val="22"/>
          <w:szCs w:val="22"/>
          <w:lang w:val="en-US" w:eastAsia="ru-RU"/>
        </w:rPr>
        <w:t xml:space="preserve"> in Q1 201</w:t>
      </w:r>
      <w:r w:rsidR="00CE240B">
        <w:rPr>
          <w:rFonts w:ascii="Arial" w:hAnsi="Arial" w:cs="Arial"/>
          <w:sz w:val="22"/>
          <w:szCs w:val="22"/>
          <w:lang w:val="en-US" w:eastAsia="ru-RU"/>
        </w:rPr>
        <w:t>5</w:t>
      </w:r>
      <w:r w:rsidRPr="00D13147">
        <w:rPr>
          <w:rFonts w:ascii="Arial" w:hAnsi="Arial" w:cs="Arial"/>
          <w:sz w:val="22"/>
          <w:szCs w:val="22"/>
          <w:lang w:val="en-US" w:eastAsia="ru-RU"/>
        </w:rPr>
        <w:t xml:space="preserve">. </w:t>
      </w:r>
    </w:p>
    <w:p w:rsidR="00562B5A" w:rsidRDefault="00562B5A" w:rsidP="00E50776">
      <w:pPr>
        <w:pStyle w:val="a5"/>
        <w:jc w:val="both"/>
        <w:rPr>
          <w:rFonts w:ascii="Arial" w:hAnsi="Arial" w:cs="Arial"/>
          <w:sz w:val="22"/>
          <w:szCs w:val="22"/>
          <w:lang w:val="en-US" w:eastAsia="ru-RU"/>
        </w:rPr>
      </w:pPr>
    </w:p>
    <w:p w:rsidR="00E50776" w:rsidRPr="00D13147" w:rsidRDefault="00562B5A" w:rsidP="00E50776">
      <w:pPr>
        <w:pStyle w:val="a5"/>
        <w:jc w:val="both"/>
        <w:rPr>
          <w:rFonts w:ascii="Arial" w:hAnsi="Arial" w:cs="Arial"/>
          <w:sz w:val="22"/>
          <w:szCs w:val="22"/>
          <w:lang w:val="en-US" w:eastAsia="ru-RU"/>
        </w:rPr>
      </w:pPr>
      <w:r>
        <w:rPr>
          <w:rFonts w:ascii="Arial" w:hAnsi="Arial" w:cs="Arial"/>
          <w:sz w:val="22"/>
          <w:szCs w:val="22"/>
          <w:lang w:val="en-US" w:eastAsia="ru-RU"/>
        </w:rPr>
        <w:t>MHP’s soybean extraction plant was launched into operations in Q3 2015. Working at 50% capacity, it covers all MHP’s needs in soybean sake</w:t>
      </w:r>
      <w:r w:rsidR="00371226">
        <w:rPr>
          <w:rFonts w:ascii="Arial" w:hAnsi="Arial" w:cs="Arial"/>
          <w:sz w:val="22"/>
          <w:szCs w:val="22"/>
          <w:lang w:val="en-US" w:eastAsia="ru-RU"/>
        </w:rPr>
        <w:t xml:space="preserve"> for fodder production</w:t>
      </w:r>
      <w:r>
        <w:rPr>
          <w:rFonts w:ascii="Arial" w:hAnsi="Arial" w:cs="Arial"/>
          <w:sz w:val="22"/>
          <w:szCs w:val="22"/>
          <w:lang w:val="en-US" w:eastAsia="ru-RU"/>
        </w:rPr>
        <w:t>. In Q1 2</w:t>
      </w:r>
      <w:r w:rsidR="00371226">
        <w:rPr>
          <w:rFonts w:ascii="Arial" w:hAnsi="Arial" w:cs="Arial"/>
          <w:sz w:val="22"/>
          <w:szCs w:val="22"/>
          <w:lang w:val="en-US" w:eastAsia="ru-RU"/>
        </w:rPr>
        <w:t>016, soybean oil export sales were at 8</w:t>
      </w:r>
      <w:r>
        <w:rPr>
          <w:rFonts w:ascii="Arial" w:hAnsi="Arial" w:cs="Arial"/>
          <w:sz w:val="22"/>
          <w:szCs w:val="22"/>
          <w:lang w:val="en-US" w:eastAsia="ru-RU"/>
        </w:rPr>
        <w:t xml:space="preserve">,150 </w:t>
      </w:r>
      <w:proofErr w:type="spellStart"/>
      <w:r>
        <w:rPr>
          <w:rFonts w:ascii="Arial" w:hAnsi="Arial" w:cs="Arial"/>
          <w:sz w:val="22"/>
          <w:szCs w:val="22"/>
          <w:lang w:val="en-US" w:eastAsia="ru-RU"/>
        </w:rPr>
        <w:t>tonnes</w:t>
      </w:r>
      <w:proofErr w:type="spellEnd"/>
      <w:r>
        <w:rPr>
          <w:rFonts w:ascii="Arial" w:hAnsi="Arial" w:cs="Arial"/>
          <w:sz w:val="22"/>
          <w:szCs w:val="22"/>
          <w:lang w:val="en-US" w:eastAsia="ru-RU"/>
        </w:rPr>
        <w:t>.</w:t>
      </w:r>
    </w:p>
    <w:p w:rsidR="0046134F" w:rsidRPr="006F5098" w:rsidRDefault="005C295F" w:rsidP="0046134F">
      <w:pPr>
        <w:pStyle w:val="c3"/>
        <w:jc w:val="both"/>
        <w:rPr>
          <w:sz w:val="22"/>
          <w:szCs w:val="22"/>
          <w:lang w:val="en-US"/>
        </w:rPr>
      </w:pPr>
      <w:r>
        <w:rPr>
          <w:sz w:val="22"/>
          <w:szCs w:val="22"/>
          <w:lang w:val="en-US"/>
        </w:rPr>
        <w:t>T</w:t>
      </w:r>
      <w:r w:rsidR="0046134F" w:rsidRPr="006F5098">
        <w:rPr>
          <w:sz w:val="22"/>
          <w:szCs w:val="22"/>
          <w:lang w:val="en-US"/>
        </w:rPr>
        <w:t xml:space="preserve">he Company considers </w:t>
      </w:r>
      <w:r w:rsidR="0046134F">
        <w:rPr>
          <w:sz w:val="22"/>
          <w:szCs w:val="22"/>
          <w:lang w:val="en-US"/>
        </w:rPr>
        <w:t>vegetable</w:t>
      </w:r>
      <w:r w:rsidR="0046134F" w:rsidRPr="006F5098">
        <w:rPr>
          <w:sz w:val="22"/>
          <w:szCs w:val="22"/>
          <w:lang w:val="en-US"/>
        </w:rPr>
        <w:t xml:space="preserve"> oil</w:t>
      </w:r>
      <w:r w:rsidR="0046134F">
        <w:rPr>
          <w:sz w:val="22"/>
          <w:szCs w:val="22"/>
          <w:lang w:val="en-US"/>
        </w:rPr>
        <w:t>s</w:t>
      </w:r>
      <w:r w:rsidR="0046134F" w:rsidRPr="006F5098">
        <w:rPr>
          <w:sz w:val="22"/>
          <w:szCs w:val="22"/>
          <w:lang w:val="en-US"/>
        </w:rPr>
        <w:t xml:space="preserve"> exports as one of the “natural hedge” routes accumulating additional hard currency revenues and protecting the Company from volatilities </w:t>
      </w:r>
      <w:r w:rsidR="0046134F">
        <w:rPr>
          <w:sz w:val="22"/>
          <w:szCs w:val="22"/>
          <w:lang w:val="en-US"/>
        </w:rPr>
        <w:t>in</w:t>
      </w:r>
      <w:r w:rsidR="0046134F" w:rsidRPr="006F5098">
        <w:rPr>
          <w:sz w:val="22"/>
          <w:szCs w:val="22"/>
          <w:lang w:val="en-US"/>
        </w:rPr>
        <w:t xml:space="preserve"> local currency.</w:t>
      </w:r>
    </w:p>
    <w:p w:rsidR="0046134F" w:rsidRPr="00D13147" w:rsidRDefault="0046134F" w:rsidP="00E50776">
      <w:pPr>
        <w:pStyle w:val="Default"/>
        <w:jc w:val="both"/>
        <w:rPr>
          <w:b/>
          <w:bCs/>
          <w:color w:val="auto"/>
          <w:sz w:val="22"/>
          <w:szCs w:val="22"/>
          <w:lang w:val="en-US"/>
        </w:rPr>
      </w:pPr>
    </w:p>
    <w:p w:rsidR="00E50776" w:rsidRPr="00D13147" w:rsidRDefault="00E50776" w:rsidP="00E50776">
      <w:pPr>
        <w:pStyle w:val="Default"/>
        <w:jc w:val="both"/>
        <w:rPr>
          <w:b/>
          <w:bCs/>
          <w:color w:val="auto"/>
          <w:sz w:val="22"/>
          <w:szCs w:val="22"/>
          <w:lang w:val="en-US"/>
        </w:rPr>
      </w:pPr>
      <w:r w:rsidRPr="00D13147">
        <w:rPr>
          <w:b/>
          <w:bCs/>
          <w:color w:val="auto"/>
          <w:sz w:val="22"/>
          <w:szCs w:val="22"/>
          <w:lang w:val="en-US"/>
        </w:rPr>
        <w:t xml:space="preserve">Grain growing operations </w:t>
      </w:r>
    </w:p>
    <w:p w:rsidR="00E50776" w:rsidRPr="00D13147" w:rsidRDefault="00E50776" w:rsidP="00E50776">
      <w:pPr>
        <w:pStyle w:val="Default"/>
        <w:jc w:val="both"/>
        <w:rPr>
          <w:b/>
          <w:bCs/>
          <w:color w:val="auto"/>
          <w:sz w:val="22"/>
          <w:szCs w:val="22"/>
          <w:lang w:val="en-US"/>
        </w:rPr>
      </w:pPr>
    </w:p>
    <w:p w:rsidR="00E50776" w:rsidRPr="00D13147" w:rsidRDefault="008A71A9" w:rsidP="00E50776">
      <w:pPr>
        <w:pStyle w:val="Default"/>
        <w:jc w:val="both"/>
        <w:rPr>
          <w:color w:val="auto"/>
          <w:sz w:val="22"/>
          <w:szCs w:val="22"/>
          <w:lang w:val="en-US"/>
        </w:rPr>
      </w:pPr>
      <w:r>
        <w:rPr>
          <w:color w:val="auto"/>
          <w:sz w:val="22"/>
          <w:szCs w:val="22"/>
          <w:lang w:val="en-US"/>
        </w:rPr>
        <w:t>Around 97</w:t>
      </w:r>
      <w:r w:rsidR="00E50776" w:rsidRPr="00D13147">
        <w:rPr>
          <w:color w:val="auto"/>
          <w:sz w:val="22"/>
          <w:szCs w:val="22"/>
          <w:lang w:val="en-US"/>
        </w:rPr>
        <w:t xml:space="preserve">,000 hectares of </w:t>
      </w:r>
      <w:r>
        <w:rPr>
          <w:color w:val="auto"/>
          <w:sz w:val="22"/>
          <w:szCs w:val="22"/>
          <w:lang w:val="en-US"/>
        </w:rPr>
        <w:t xml:space="preserve">MHP’s </w:t>
      </w:r>
      <w:r w:rsidR="00E50776" w:rsidRPr="00D13147">
        <w:rPr>
          <w:color w:val="auto"/>
          <w:sz w:val="22"/>
          <w:szCs w:val="22"/>
          <w:lang w:val="en-US"/>
        </w:rPr>
        <w:t xml:space="preserve">land are under winter crops (winter wheat, rapeseeds </w:t>
      </w:r>
      <w:r w:rsidR="00E50776">
        <w:rPr>
          <w:color w:val="auto"/>
          <w:sz w:val="22"/>
          <w:szCs w:val="22"/>
          <w:lang w:val="en-US"/>
        </w:rPr>
        <w:t xml:space="preserve">and barley), which </w:t>
      </w:r>
      <w:r>
        <w:rPr>
          <w:color w:val="auto"/>
          <w:sz w:val="22"/>
          <w:szCs w:val="22"/>
          <w:lang w:val="en-US"/>
        </w:rPr>
        <w:t>is</w:t>
      </w:r>
      <w:r w:rsidR="00E50776">
        <w:rPr>
          <w:color w:val="auto"/>
          <w:sz w:val="22"/>
          <w:szCs w:val="22"/>
          <w:lang w:val="en-US"/>
        </w:rPr>
        <w:t xml:space="preserve"> around 2</w:t>
      </w:r>
      <w:r>
        <w:rPr>
          <w:color w:val="auto"/>
          <w:sz w:val="22"/>
          <w:szCs w:val="22"/>
          <w:lang w:val="en-US"/>
        </w:rPr>
        <w:t>7</w:t>
      </w:r>
      <w:r w:rsidR="00E50776" w:rsidRPr="00D13147">
        <w:rPr>
          <w:color w:val="auto"/>
          <w:sz w:val="22"/>
          <w:szCs w:val="22"/>
          <w:lang w:val="en-US"/>
        </w:rPr>
        <w:t>% of the land cultivated in the grain growing segment of the Company</w:t>
      </w:r>
      <w:r>
        <w:rPr>
          <w:color w:val="auto"/>
          <w:sz w:val="22"/>
          <w:szCs w:val="22"/>
          <w:lang w:val="en-US"/>
        </w:rPr>
        <w:t xml:space="preserve"> in 2016 (around 355,000 </w:t>
      </w:r>
      <w:r w:rsidR="00EF56E5">
        <w:rPr>
          <w:color w:val="auto"/>
          <w:sz w:val="22"/>
          <w:szCs w:val="22"/>
          <w:lang w:val="en-US"/>
        </w:rPr>
        <w:t>hectares</w:t>
      </w:r>
      <w:r>
        <w:rPr>
          <w:color w:val="auto"/>
          <w:sz w:val="22"/>
          <w:szCs w:val="22"/>
          <w:lang w:val="en-US"/>
        </w:rPr>
        <w:t>)</w:t>
      </w:r>
      <w:r w:rsidR="00E50776" w:rsidRPr="00D13147">
        <w:rPr>
          <w:color w:val="auto"/>
          <w:sz w:val="22"/>
          <w:szCs w:val="22"/>
          <w:lang w:val="en-US"/>
        </w:rPr>
        <w:t>. Currently, all crops are in good condition. As a result, MHP expects good</w:t>
      </w:r>
      <w:r w:rsidR="00E50776">
        <w:rPr>
          <w:color w:val="auto"/>
          <w:sz w:val="22"/>
          <w:szCs w:val="22"/>
          <w:lang w:val="en-US"/>
        </w:rPr>
        <w:t xml:space="preserve"> harvest of winter crops in 201</w:t>
      </w:r>
      <w:r w:rsidR="00EF56E5">
        <w:rPr>
          <w:color w:val="auto"/>
          <w:sz w:val="22"/>
          <w:szCs w:val="22"/>
          <w:lang w:val="en-US"/>
        </w:rPr>
        <w:t>6</w:t>
      </w:r>
      <w:r w:rsidR="00E50776" w:rsidRPr="00D13147">
        <w:rPr>
          <w:color w:val="auto"/>
          <w:sz w:val="22"/>
          <w:szCs w:val="22"/>
          <w:lang w:val="en-US"/>
        </w:rPr>
        <w:t>.</w:t>
      </w:r>
    </w:p>
    <w:p w:rsidR="00E50776" w:rsidRPr="00D13147" w:rsidRDefault="00E50776" w:rsidP="00E50776">
      <w:pPr>
        <w:pStyle w:val="Default"/>
        <w:jc w:val="both"/>
        <w:rPr>
          <w:color w:val="auto"/>
          <w:sz w:val="22"/>
          <w:szCs w:val="22"/>
          <w:lang w:val="en-US"/>
        </w:rPr>
      </w:pPr>
    </w:p>
    <w:p w:rsidR="00E50776" w:rsidRPr="00D13147" w:rsidRDefault="00E50776" w:rsidP="00E50776">
      <w:pPr>
        <w:pStyle w:val="Default"/>
        <w:jc w:val="both"/>
        <w:rPr>
          <w:color w:val="auto"/>
          <w:sz w:val="22"/>
          <w:szCs w:val="22"/>
          <w:lang w:val="en-US"/>
        </w:rPr>
      </w:pPr>
      <w:r>
        <w:rPr>
          <w:color w:val="auto"/>
          <w:sz w:val="22"/>
          <w:szCs w:val="22"/>
          <w:lang w:val="en-US"/>
        </w:rPr>
        <w:t>MHP’s 201</w:t>
      </w:r>
      <w:r w:rsidR="00EF56E5">
        <w:rPr>
          <w:color w:val="auto"/>
          <w:sz w:val="22"/>
          <w:szCs w:val="22"/>
          <w:lang w:val="en-US"/>
        </w:rPr>
        <w:t>6</w:t>
      </w:r>
      <w:r w:rsidRPr="00D13147">
        <w:rPr>
          <w:color w:val="auto"/>
          <w:sz w:val="22"/>
          <w:szCs w:val="22"/>
          <w:lang w:val="en-US"/>
        </w:rPr>
        <w:t xml:space="preserve"> spring sowing campaign is ongoing now</w:t>
      </w:r>
      <w:r>
        <w:rPr>
          <w:color w:val="auto"/>
          <w:sz w:val="22"/>
          <w:szCs w:val="22"/>
          <w:lang w:val="en-US"/>
        </w:rPr>
        <w:t xml:space="preserve"> with no significant change in crops</w:t>
      </w:r>
      <w:r w:rsidR="00E13A8B" w:rsidRPr="00790859">
        <w:rPr>
          <w:color w:val="auto"/>
          <w:sz w:val="22"/>
          <w:szCs w:val="22"/>
          <w:lang w:val="en-US"/>
        </w:rPr>
        <w:t xml:space="preserve"> </w:t>
      </w:r>
      <w:r w:rsidR="00E13A8B">
        <w:rPr>
          <w:color w:val="auto"/>
          <w:sz w:val="22"/>
          <w:szCs w:val="22"/>
          <w:lang w:val="en-US"/>
        </w:rPr>
        <w:t>structure</w:t>
      </w:r>
      <w:r w:rsidRPr="00D13147">
        <w:rPr>
          <w:color w:val="auto"/>
          <w:sz w:val="22"/>
          <w:szCs w:val="22"/>
          <w:lang w:val="en-US"/>
        </w:rPr>
        <w:t>.</w:t>
      </w:r>
    </w:p>
    <w:p w:rsidR="00E50776" w:rsidRPr="00D13147" w:rsidRDefault="00E50776" w:rsidP="00E50776">
      <w:pPr>
        <w:pStyle w:val="Default"/>
        <w:jc w:val="both"/>
        <w:rPr>
          <w:color w:val="auto"/>
          <w:sz w:val="22"/>
          <w:szCs w:val="22"/>
          <w:lang w:val="en-US"/>
        </w:rPr>
      </w:pPr>
    </w:p>
    <w:p w:rsidR="00E50776" w:rsidRPr="00D13147" w:rsidRDefault="00E50776" w:rsidP="00E50776">
      <w:pPr>
        <w:pStyle w:val="c3"/>
        <w:jc w:val="both"/>
        <w:rPr>
          <w:b/>
          <w:bCs/>
          <w:sz w:val="22"/>
          <w:szCs w:val="22"/>
          <w:lang w:val="en-US"/>
        </w:rPr>
      </w:pPr>
      <w:r w:rsidRPr="00D13147">
        <w:rPr>
          <w:b/>
          <w:bCs/>
          <w:sz w:val="22"/>
          <w:szCs w:val="22"/>
          <w:lang w:val="en-US"/>
        </w:rPr>
        <w:t>Other agricultural operations</w:t>
      </w:r>
    </w:p>
    <w:tbl>
      <w:tblPr>
        <w:tblW w:w="6280" w:type="dxa"/>
        <w:tblCellMar>
          <w:left w:w="0" w:type="dxa"/>
          <w:right w:w="0" w:type="dxa"/>
        </w:tblCellMar>
        <w:tblLook w:val="0000" w:firstRow="0" w:lastRow="0" w:firstColumn="0" w:lastColumn="0" w:noHBand="0" w:noVBand="0"/>
      </w:tblPr>
      <w:tblGrid>
        <w:gridCol w:w="3248"/>
        <w:gridCol w:w="882"/>
        <w:gridCol w:w="976"/>
        <w:gridCol w:w="938"/>
        <w:gridCol w:w="236"/>
      </w:tblGrid>
      <w:tr w:rsidR="00E50776" w:rsidRPr="00D13147" w:rsidTr="0046134F">
        <w:trPr>
          <w:trHeight w:val="510"/>
        </w:trPr>
        <w:tc>
          <w:tcPr>
            <w:tcW w:w="3232" w:type="dxa"/>
            <w:tcBorders>
              <w:bottom w:val="single" w:sz="12" w:space="0" w:color="auto"/>
            </w:tcBorders>
            <w:noWrap/>
            <w:vAlign w:val="bottom"/>
          </w:tcPr>
          <w:p w:rsidR="00E50776" w:rsidRPr="00D13147" w:rsidRDefault="00E50776" w:rsidP="00F94706">
            <w:pPr>
              <w:rPr>
                <w:rFonts w:ascii="Arial" w:hAnsi="Arial" w:cs="Arial"/>
                <w:lang w:val="en-US"/>
              </w:rPr>
            </w:pPr>
            <w:r w:rsidRPr="00D13147">
              <w:rPr>
                <w:rFonts w:ascii="Arial" w:hAnsi="Arial" w:cs="Arial"/>
                <w:b/>
                <w:bCs/>
                <w:lang w:val="en-US"/>
              </w:rPr>
              <w:t>Meat processing products</w:t>
            </w:r>
          </w:p>
        </w:tc>
        <w:tc>
          <w:tcPr>
            <w:tcW w:w="898" w:type="dxa"/>
            <w:tcBorders>
              <w:bottom w:val="single" w:sz="12" w:space="0" w:color="auto"/>
            </w:tcBorders>
            <w:vAlign w:val="bottom"/>
          </w:tcPr>
          <w:p w:rsidR="00E50776" w:rsidRPr="005E7B79" w:rsidRDefault="00E50776" w:rsidP="0046134F">
            <w:pPr>
              <w:jc w:val="right"/>
              <w:rPr>
                <w:rFonts w:ascii="Arial" w:hAnsi="Arial" w:cs="Arial"/>
                <w:b/>
                <w:bCs/>
              </w:rPr>
            </w:pPr>
            <w:r w:rsidRPr="00D13147">
              <w:rPr>
                <w:rFonts w:ascii="Arial" w:hAnsi="Arial" w:cs="Arial"/>
                <w:b/>
                <w:bCs/>
                <w:lang w:val="en-US"/>
              </w:rPr>
              <w:t>Q1     201</w:t>
            </w:r>
            <w:r w:rsidR="0046134F">
              <w:rPr>
                <w:rFonts w:ascii="Arial" w:hAnsi="Arial" w:cs="Arial"/>
                <w:b/>
                <w:bCs/>
              </w:rPr>
              <w:t>6</w:t>
            </w:r>
          </w:p>
        </w:tc>
        <w:tc>
          <w:tcPr>
            <w:tcW w:w="976" w:type="dxa"/>
            <w:tcBorders>
              <w:bottom w:val="single" w:sz="12" w:space="0" w:color="auto"/>
            </w:tcBorders>
            <w:noWrap/>
            <w:tcMar>
              <w:top w:w="0" w:type="dxa"/>
              <w:left w:w="108" w:type="dxa"/>
              <w:bottom w:w="0" w:type="dxa"/>
              <w:right w:w="108" w:type="dxa"/>
            </w:tcMar>
            <w:vAlign w:val="bottom"/>
          </w:tcPr>
          <w:p w:rsidR="00E50776" w:rsidRPr="005E7B79" w:rsidRDefault="00E50776" w:rsidP="0046134F">
            <w:pPr>
              <w:jc w:val="right"/>
              <w:rPr>
                <w:rFonts w:ascii="Arial" w:hAnsi="Arial" w:cs="Arial"/>
                <w:b/>
                <w:bCs/>
              </w:rPr>
            </w:pPr>
            <w:r w:rsidRPr="00D13147">
              <w:rPr>
                <w:rFonts w:ascii="Arial" w:hAnsi="Arial" w:cs="Arial"/>
                <w:b/>
                <w:bCs/>
                <w:lang w:val="en-US"/>
              </w:rPr>
              <w:t>Q1 201</w:t>
            </w:r>
            <w:r w:rsidR="0046134F">
              <w:rPr>
                <w:rFonts w:ascii="Arial" w:hAnsi="Arial" w:cs="Arial"/>
                <w:b/>
                <w:bCs/>
              </w:rPr>
              <w:t>5</w:t>
            </w:r>
          </w:p>
        </w:tc>
        <w:tc>
          <w:tcPr>
            <w:tcW w:w="938" w:type="dxa"/>
            <w:tcBorders>
              <w:bottom w:val="single" w:sz="12" w:space="0" w:color="auto"/>
            </w:tcBorders>
            <w:tcMar>
              <w:top w:w="0" w:type="dxa"/>
              <w:left w:w="108" w:type="dxa"/>
              <w:bottom w:w="0" w:type="dxa"/>
              <w:right w:w="108" w:type="dxa"/>
            </w:tcMar>
            <w:vAlign w:val="bottom"/>
          </w:tcPr>
          <w:p w:rsidR="00E50776" w:rsidRPr="00D13147" w:rsidRDefault="00E50776" w:rsidP="00F94706">
            <w:pPr>
              <w:jc w:val="right"/>
              <w:rPr>
                <w:rFonts w:ascii="Arial" w:hAnsi="Arial" w:cs="Arial"/>
                <w:i/>
                <w:iCs/>
              </w:rPr>
            </w:pPr>
            <w:r w:rsidRPr="00D13147">
              <w:rPr>
                <w:rFonts w:ascii="Arial" w:hAnsi="Arial" w:cs="Arial"/>
                <w:i/>
                <w:iCs/>
              </w:rPr>
              <w:t xml:space="preserve">% </w:t>
            </w:r>
            <w:proofErr w:type="spellStart"/>
            <w:r w:rsidRPr="00D13147">
              <w:rPr>
                <w:rFonts w:ascii="Arial" w:hAnsi="Arial" w:cs="Arial"/>
                <w:i/>
                <w:iCs/>
              </w:rPr>
              <w:t>change</w:t>
            </w:r>
            <w:proofErr w:type="spellEnd"/>
          </w:p>
        </w:tc>
        <w:tc>
          <w:tcPr>
            <w:tcW w:w="236" w:type="dxa"/>
            <w:tcBorders>
              <w:bottom w:val="single" w:sz="12" w:space="0" w:color="auto"/>
            </w:tcBorders>
            <w:noWrap/>
            <w:tcMar>
              <w:top w:w="0" w:type="dxa"/>
              <w:left w:w="108" w:type="dxa"/>
              <w:bottom w:w="0" w:type="dxa"/>
              <w:right w:w="108" w:type="dxa"/>
            </w:tcMar>
            <w:vAlign w:val="bottom"/>
          </w:tcPr>
          <w:p w:rsidR="00E50776" w:rsidRPr="00D13147" w:rsidRDefault="00E50776" w:rsidP="00F94706">
            <w:pPr>
              <w:jc w:val="right"/>
              <w:rPr>
                <w:rFonts w:ascii="Arial" w:hAnsi="Arial" w:cs="Arial"/>
              </w:rPr>
            </w:pPr>
          </w:p>
        </w:tc>
      </w:tr>
      <w:tr w:rsidR="0046134F" w:rsidRPr="00D13147" w:rsidTr="0046134F">
        <w:trPr>
          <w:trHeight w:val="255"/>
        </w:trPr>
        <w:tc>
          <w:tcPr>
            <w:tcW w:w="3232" w:type="dxa"/>
            <w:noWrap/>
            <w:vAlign w:val="bottom"/>
          </w:tcPr>
          <w:p w:rsidR="0046134F" w:rsidRPr="00D13147" w:rsidRDefault="0046134F" w:rsidP="00F94706">
            <w:pPr>
              <w:rPr>
                <w:rFonts w:ascii="Arial" w:hAnsi="Arial" w:cs="Arial"/>
                <w:lang w:val="en-US"/>
              </w:rPr>
            </w:pPr>
            <w:r w:rsidRPr="00D13147">
              <w:rPr>
                <w:rFonts w:ascii="Arial" w:hAnsi="Arial" w:cs="Arial"/>
                <w:lang w:val="en-US"/>
              </w:rPr>
              <w:t xml:space="preserve">Sales volume, third parties </w:t>
            </w:r>
            <w:proofErr w:type="spellStart"/>
            <w:r w:rsidRPr="00D13147">
              <w:rPr>
                <w:rFonts w:ascii="Arial" w:hAnsi="Arial" w:cs="Arial"/>
                <w:lang w:val="en-US"/>
              </w:rPr>
              <w:t>tonnes</w:t>
            </w:r>
            <w:proofErr w:type="spellEnd"/>
          </w:p>
        </w:tc>
        <w:tc>
          <w:tcPr>
            <w:tcW w:w="898" w:type="dxa"/>
            <w:vAlign w:val="center"/>
          </w:tcPr>
          <w:p w:rsidR="0046134F" w:rsidRPr="00D13147" w:rsidRDefault="0046134F" w:rsidP="00F94706">
            <w:pPr>
              <w:jc w:val="center"/>
              <w:rPr>
                <w:rFonts w:ascii="Arial" w:hAnsi="Arial" w:cs="Arial"/>
                <w:lang w:val="en-US"/>
              </w:rPr>
            </w:pPr>
            <w:r>
              <w:rPr>
                <w:rFonts w:ascii="Arial" w:hAnsi="Arial" w:cs="Arial"/>
                <w:lang w:val="en-US"/>
              </w:rPr>
              <w:t>8,340</w:t>
            </w:r>
          </w:p>
        </w:tc>
        <w:tc>
          <w:tcPr>
            <w:tcW w:w="976" w:type="dxa"/>
            <w:noWrap/>
            <w:tcMar>
              <w:top w:w="0" w:type="dxa"/>
              <w:left w:w="108" w:type="dxa"/>
              <w:bottom w:w="0" w:type="dxa"/>
              <w:right w:w="108" w:type="dxa"/>
            </w:tcMar>
            <w:vAlign w:val="center"/>
          </w:tcPr>
          <w:p w:rsidR="0046134F" w:rsidRPr="00D13147" w:rsidRDefault="0046134F" w:rsidP="00F94706">
            <w:pPr>
              <w:jc w:val="center"/>
              <w:rPr>
                <w:rFonts w:ascii="Arial" w:hAnsi="Arial" w:cs="Arial"/>
                <w:lang w:val="en-US"/>
              </w:rPr>
            </w:pPr>
            <w:r w:rsidRPr="00D13147">
              <w:rPr>
                <w:rFonts w:ascii="Arial" w:hAnsi="Arial" w:cs="Arial"/>
                <w:lang w:val="en-US"/>
              </w:rPr>
              <w:t xml:space="preserve">   </w:t>
            </w:r>
            <w:r>
              <w:rPr>
                <w:rFonts w:ascii="Arial" w:hAnsi="Arial" w:cs="Arial"/>
                <w:lang w:val="en-US"/>
              </w:rPr>
              <w:t>5,280</w:t>
            </w:r>
          </w:p>
        </w:tc>
        <w:tc>
          <w:tcPr>
            <w:tcW w:w="938" w:type="dxa"/>
            <w:noWrap/>
            <w:tcMar>
              <w:top w:w="0" w:type="dxa"/>
              <w:left w:w="108" w:type="dxa"/>
              <w:bottom w:w="0" w:type="dxa"/>
              <w:right w:w="108" w:type="dxa"/>
            </w:tcMar>
            <w:vAlign w:val="center"/>
          </w:tcPr>
          <w:p w:rsidR="0046134F" w:rsidRPr="00D13147" w:rsidRDefault="0046134F" w:rsidP="0046134F">
            <w:pPr>
              <w:jc w:val="center"/>
              <w:rPr>
                <w:rFonts w:ascii="Arial" w:hAnsi="Arial" w:cs="Arial"/>
                <w:i/>
                <w:iCs/>
              </w:rPr>
            </w:pPr>
            <w:r w:rsidRPr="00D13147">
              <w:rPr>
                <w:rFonts w:ascii="Arial" w:hAnsi="Arial" w:cs="Arial"/>
                <w:i/>
                <w:iCs/>
                <w:lang w:val="en-US"/>
              </w:rPr>
              <w:t xml:space="preserve">   </w:t>
            </w:r>
            <w:r>
              <w:rPr>
                <w:rFonts w:ascii="Arial" w:hAnsi="Arial" w:cs="Arial"/>
                <w:i/>
                <w:iCs/>
                <w:lang w:val="en-US"/>
              </w:rPr>
              <w:t>58</w:t>
            </w:r>
            <w:r w:rsidRPr="00D13147">
              <w:rPr>
                <w:rFonts w:ascii="Arial" w:hAnsi="Arial" w:cs="Arial"/>
                <w:i/>
                <w:iCs/>
              </w:rPr>
              <w:t>%</w:t>
            </w:r>
          </w:p>
        </w:tc>
        <w:tc>
          <w:tcPr>
            <w:tcW w:w="236" w:type="dxa"/>
            <w:noWrap/>
            <w:tcMar>
              <w:top w:w="0" w:type="dxa"/>
              <w:left w:w="108" w:type="dxa"/>
              <w:bottom w:w="0" w:type="dxa"/>
              <w:right w:w="108" w:type="dxa"/>
            </w:tcMar>
            <w:vAlign w:val="bottom"/>
          </w:tcPr>
          <w:p w:rsidR="0046134F" w:rsidRPr="00D13147" w:rsidRDefault="0046134F" w:rsidP="00F94706">
            <w:pPr>
              <w:rPr>
                <w:rFonts w:ascii="Arial" w:hAnsi="Arial" w:cs="Arial"/>
              </w:rPr>
            </w:pPr>
          </w:p>
        </w:tc>
      </w:tr>
      <w:tr w:rsidR="0046134F" w:rsidRPr="00D13147" w:rsidTr="0046134F">
        <w:trPr>
          <w:trHeight w:val="255"/>
        </w:trPr>
        <w:tc>
          <w:tcPr>
            <w:tcW w:w="3232" w:type="dxa"/>
            <w:noWrap/>
            <w:vAlign w:val="bottom"/>
          </w:tcPr>
          <w:p w:rsidR="0046134F" w:rsidRPr="00D13147" w:rsidRDefault="0046134F" w:rsidP="00F94706">
            <w:pPr>
              <w:rPr>
                <w:rFonts w:ascii="Arial" w:hAnsi="Arial" w:cs="Arial"/>
                <w:lang w:val="nl-NL"/>
              </w:rPr>
            </w:pPr>
            <w:r w:rsidRPr="00D13147">
              <w:rPr>
                <w:rFonts w:ascii="Arial" w:hAnsi="Arial" w:cs="Arial"/>
                <w:lang w:val="nl-NL"/>
              </w:rPr>
              <w:t>Price per 1 kg net VAT, UAH</w:t>
            </w:r>
          </w:p>
        </w:tc>
        <w:tc>
          <w:tcPr>
            <w:tcW w:w="898" w:type="dxa"/>
            <w:vAlign w:val="bottom"/>
          </w:tcPr>
          <w:p w:rsidR="0046134F" w:rsidRPr="00007469" w:rsidRDefault="0046134F" w:rsidP="00F94706">
            <w:pPr>
              <w:jc w:val="center"/>
              <w:rPr>
                <w:rFonts w:ascii="Arial" w:hAnsi="Arial" w:cs="Arial"/>
                <w:lang w:val="en-US"/>
              </w:rPr>
            </w:pPr>
            <w:r>
              <w:rPr>
                <w:rFonts w:ascii="Arial" w:hAnsi="Arial" w:cs="Arial"/>
                <w:lang w:val="en-US"/>
              </w:rPr>
              <w:t>44.91</w:t>
            </w:r>
          </w:p>
        </w:tc>
        <w:tc>
          <w:tcPr>
            <w:tcW w:w="976" w:type="dxa"/>
            <w:noWrap/>
            <w:tcMar>
              <w:top w:w="0" w:type="dxa"/>
              <w:left w:w="108" w:type="dxa"/>
              <w:bottom w:w="0" w:type="dxa"/>
              <w:right w:w="108" w:type="dxa"/>
            </w:tcMar>
            <w:vAlign w:val="bottom"/>
          </w:tcPr>
          <w:p w:rsidR="0046134F" w:rsidRPr="00007469" w:rsidRDefault="0046134F" w:rsidP="00F94706">
            <w:pPr>
              <w:jc w:val="center"/>
              <w:rPr>
                <w:rFonts w:ascii="Arial" w:hAnsi="Arial" w:cs="Arial"/>
                <w:lang w:val="en-US"/>
              </w:rPr>
            </w:pPr>
            <w:r>
              <w:rPr>
                <w:rFonts w:ascii="Arial" w:hAnsi="Arial" w:cs="Arial"/>
                <w:lang w:val="en-US"/>
              </w:rPr>
              <w:t>39.64</w:t>
            </w:r>
          </w:p>
        </w:tc>
        <w:tc>
          <w:tcPr>
            <w:tcW w:w="938" w:type="dxa"/>
            <w:noWrap/>
            <w:tcMar>
              <w:top w:w="0" w:type="dxa"/>
              <w:left w:w="108" w:type="dxa"/>
              <w:bottom w:w="0" w:type="dxa"/>
              <w:right w:w="108" w:type="dxa"/>
            </w:tcMar>
            <w:vAlign w:val="bottom"/>
          </w:tcPr>
          <w:p w:rsidR="0046134F" w:rsidRPr="00D13147" w:rsidRDefault="0046134F" w:rsidP="0046134F">
            <w:pPr>
              <w:jc w:val="center"/>
              <w:rPr>
                <w:rFonts w:ascii="Arial" w:hAnsi="Arial" w:cs="Arial"/>
                <w:i/>
                <w:iCs/>
              </w:rPr>
            </w:pPr>
            <w:r>
              <w:rPr>
                <w:rFonts w:ascii="Arial" w:hAnsi="Arial" w:cs="Arial"/>
                <w:i/>
                <w:iCs/>
                <w:lang w:val="en-US"/>
              </w:rPr>
              <w:t xml:space="preserve">   13</w:t>
            </w:r>
            <w:r w:rsidRPr="00D13147">
              <w:rPr>
                <w:rFonts w:ascii="Arial" w:hAnsi="Arial" w:cs="Arial"/>
                <w:i/>
                <w:iCs/>
              </w:rPr>
              <w:t>%</w:t>
            </w:r>
          </w:p>
        </w:tc>
        <w:tc>
          <w:tcPr>
            <w:tcW w:w="236" w:type="dxa"/>
            <w:noWrap/>
            <w:tcMar>
              <w:top w:w="0" w:type="dxa"/>
              <w:left w:w="108" w:type="dxa"/>
              <w:bottom w:w="0" w:type="dxa"/>
              <w:right w:w="108" w:type="dxa"/>
            </w:tcMar>
            <w:vAlign w:val="bottom"/>
          </w:tcPr>
          <w:p w:rsidR="0046134F" w:rsidRPr="00D13147" w:rsidRDefault="0046134F" w:rsidP="00F94706">
            <w:pPr>
              <w:rPr>
                <w:rFonts w:ascii="Arial" w:hAnsi="Arial" w:cs="Arial"/>
              </w:rPr>
            </w:pPr>
          </w:p>
        </w:tc>
      </w:tr>
    </w:tbl>
    <w:p w:rsidR="00E50776" w:rsidRPr="00D13147" w:rsidRDefault="00E50776" w:rsidP="00E50776">
      <w:pPr>
        <w:pStyle w:val="c3"/>
        <w:jc w:val="both"/>
        <w:rPr>
          <w:sz w:val="22"/>
          <w:szCs w:val="22"/>
          <w:lang w:val="en-US"/>
        </w:rPr>
      </w:pPr>
      <w:r w:rsidRPr="00D13147">
        <w:rPr>
          <w:sz w:val="22"/>
          <w:szCs w:val="22"/>
          <w:lang w:val="en-US"/>
        </w:rPr>
        <w:t>Sales volumes of sa</w:t>
      </w:r>
      <w:r>
        <w:rPr>
          <w:sz w:val="22"/>
          <w:szCs w:val="22"/>
          <w:lang w:val="en-US"/>
        </w:rPr>
        <w:t>usage and cooked meat in Q1 201</w:t>
      </w:r>
      <w:r w:rsidR="0046134F">
        <w:rPr>
          <w:sz w:val="22"/>
          <w:szCs w:val="22"/>
          <w:lang w:val="en-US"/>
        </w:rPr>
        <w:t>6</w:t>
      </w:r>
      <w:r w:rsidRPr="00D13147">
        <w:rPr>
          <w:sz w:val="22"/>
          <w:szCs w:val="22"/>
          <w:lang w:val="en-US"/>
        </w:rPr>
        <w:t xml:space="preserve"> </w:t>
      </w:r>
      <w:r w:rsidR="0046134F">
        <w:rPr>
          <w:sz w:val="22"/>
          <w:szCs w:val="22"/>
          <w:lang w:val="en-US"/>
        </w:rPr>
        <w:t>in</w:t>
      </w:r>
      <w:r w:rsidRPr="00D13147">
        <w:rPr>
          <w:sz w:val="22"/>
          <w:szCs w:val="22"/>
          <w:lang w:val="en-US"/>
        </w:rPr>
        <w:t xml:space="preserve">creased </w:t>
      </w:r>
      <w:r>
        <w:rPr>
          <w:sz w:val="22"/>
          <w:szCs w:val="22"/>
          <w:lang w:val="en-US"/>
        </w:rPr>
        <w:t>substantially</w:t>
      </w:r>
      <w:r w:rsidRPr="00D13147">
        <w:rPr>
          <w:sz w:val="22"/>
          <w:szCs w:val="22"/>
          <w:lang w:val="en-US"/>
        </w:rPr>
        <w:t xml:space="preserve"> to </w:t>
      </w:r>
      <w:r w:rsidR="0046134F">
        <w:rPr>
          <w:sz w:val="22"/>
          <w:szCs w:val="22"/>
          <w:lang w:val="en-US"/>
        </w:rPr>
        <w:t>8,340</w:t>
      </w:r>
      <w:r w:rsidRPr="00D13147">
        <w:rPr>
          <w:sz w:val="22"/>
          <w:szCs w:val="22"/>
          <w:lang w:val="en-US"/>
        </w:rPr>
        <w:t xml:space="preserve"> </w:t>
      </w:r>
      <w:proofErr w:type="spellStart"/>
      <w:r w:rsidRPr="00D13147">
        <w:rPr>
          <w:sz w:val="22"/>
          <w:szCs w:val="22"/>
          <w:lang w:val="en-US"/>
        </w:rPr>
        <w:t>tonnes</w:t>
      </w:r>
      <w:proofErr w:type="spellEnd"/>
      <w:r w:rsidRPr="00D13147">
        <w:rPr>
          <w:sz w:val="22"/>
          <w:szCs w:val="22"/>
          <w:lang w:val="en-US"/>
        </w:rPr>
        <w:t xml:space="preserve"> compared to </w:t>
      </w:r>
      <w:r w:rsidR="0046134F">
        <w:rPr>
          <w:sz w:val="22"/>
          <w:szCs w:val="22"/>
          <w:lang w:val="en-US"/>
        </w:rPr>
        <w:t>5,280</w:t>
      </w:r>
      <w:r>
        <w:rPr>
          <w:sz w:val="22"/>
          <w:szCs w:val="22"/>
          <w:lang w:val="en-US"/>
        </w:rPr>
        <w:t xml:space="preserve"> </w:t>
      </w:r>
      <w:proofErr w:type="spellStart"/>
      <w:r w:rsidRPr="00D13147">
        <w:rPr>
          <w:sz w:val="22"/>
          <w:szCs w:val="22"/>
          <w:lang w:val="en-US"/>
        </w:rPr>
        <w:t>tonnes</w:t>
      </w:r>
      <w:proofErr w:type="spellEnd"/>
      <w:r w:rsidRPr="00D13147">
        <w:rPr>
          <w:sz w:val="22"/>
          <w:szCs w:val="22"/>
          <w:lang w:val="en-US"/>
        </w:rPr>
        <w:t xml:space="preserve"> in Q1 201</w:t>
      </w:r>
      <w:r w:rsidR="0046134F">
        <w:rPr>
          <w:sz w:val="22"/>
          <w:szCs w:val="22"/>
          <w:lang w:val="en-US"/>
        </w:rPr>
        <w:t xml:space="preserve">5 as a result of a new product promotion strategy and </w:t>
      </w:r>
      <w:r w:rsidR="00E13A8B">
        <w:rPr>
          <w:sz w:val="22"/>
          <w:szCs w:val="22"/>
          <w:lang w:val="en-US"/>
        </w:rPr>
        <w:t xml:space="preserve">advertisement </w:t>
      </w:r>
      <w:r w:rsidR="0046134F">
        <w:rPr>
          <w:sz w:val="22"/>
          <w:szCs w:val="22"/>
          <w:lang w:val="en-US"/>
        </w:rPr>
        <w:t xml:space="preserve">campaign </w:t>
      </w:r>
      <w:r w:rsidR="008A71A9">
        <w:rPr>
          <w:sz w:val="22"/>
          <w:szCs w:val="22"/>
          <w:lang w:val="en-US"/>
        </w:rPr>
        <w:t>not only for the product range but</w:t>
      </w:r>
      <w:r w:rsidR="00E13A8B">
        <w:rPr>
          <w:sz w:val="22"/>
          <w:szCs w:val="22"/>
          <w:lang w:val="en-US"/>
        </w:rPr>
        <w:t xml:space="preserve"> also</w:t>
      </w:r>
      <w:r w:rsidR="008A71A9">
        <w:rPr>
          <w:sz w:val="22"/>
          <w:szCs w:val="22"/>
          <w:lang w:val="en-US"/>
        </w:rPr>
        <w:t xml:space="preserve"> for the brand</w:t>
      </w:r>
      <w:r w:rsidRPr="00D13147">
        <w:rPr>
          <w:sz w:val="22"/>
          <w:szCs w:val="22"/>
          <w:lang w:val="en-US"/>
        </w:rPr>
        <w:t xml:space="preserve">. </w:t>
      </w:r>
    </w:p>
    <w:p w:rsidR="00E50776" w:rsidRPr="00D13147" w:rsidRDefault="00E50776" w:rsidP="00E50776">
      <w:pPr>
        <w:pStyle w:val="c3"/>
        <w:jc w:val="both"/>
        <w:rPr>
          <w:sz w:val="22"/>
          <w:szCs w:val="22"/>
          <w:lang w:val="en-US"/>
        </w:rPr>
      </w:pPr>
      <w:r w:rsidRPr="00D13147">
        <w:rPr>
          <w:sz w:val="22"/>
          <w:szCs w:val="22"/>
          <w:lang w:val="en-US"/>
        </w:rPr>
        <w:lastRenderedPageBreak/>
        <w:t>The average sausage and cooked meat price in Q1 201</w:t>
      </w:r>
      <w:r w:rsidR="008A71A9">
        <w:rPr>
          <w:sz w:val="22"/>
          <w:szCs w:val="22"/>
          <w:lang w:val="en-US"/>
        </w:rPr>
        <w:t>6 increased by 13</w:t>
      </w:r>
      <w:r w:rsidRPr="00D13147">
        <w:rPr>
          <w:sz w:val="22"/>
          <w:szCs w:val="22"/>
          <w:lang w:val="en-US"/>
        </w:rPr>
        <w:t xml:space="preserve">% to UAH </w:t>
      </w:r>
      <w:r w:rsidR="008A71A9">
        <w:rPr>
          <w:sz w:val="22"/>
          <w:szCs w:val="22"/>
          <w:lang w:val="en-US"/>
        </w:rPr>
        <w:t>44.91</w:t>
      </w:r>
      <w:r w:rsidRPr="00D13147">
        <w:rPr>
          <w:sz w:val="22"/>
          <w:szCs w:val="22"/>
          <w:lang w:val="en-US"/>
        </w:rPr>
        <w:t xml:space="preserve"> per kg (excluding VAT) compared to UAH </w:t>
      </w:r>
      <w:r w:rsidR="008A71A9">
        <w:rPr>
          <w:sz w:val="22"/>
          <w:szCs w:val="22"/>
          <w:lang w:val="en-US"/>
        </w:rPr>
        <w:t>39.64</w:t>
      </w:r>
      <w:r>
        <w:rPr>
          <w:sz w:val="22"/>
          <w:szCs w:val="22"/>
          <w:lang w:val="en-US"/>
        </w:rPr>
        <w:t xml:space="preserve"> in Q1 201</w:t>
      </w:r>
      <w:r w:rsidR="008A71A9">
        <w:rPr>
          <w:sz w:val="22"/>
          <w:szCs w:val="22"/>
          <w:lang w:val="en-US"/>
        </w:rPr>
        <w:t>5</w:t>
      </w:r>
      <w:r>
        <w:rPr>
          <w:sz w:val="22"/>
          <w:szCs w:val="22"/>
          <w:lang w:val="en-US"/>
        </w:rPr>
        <w:t xml:space="preserve"> mainly </w:t>
      </w:r>
      <w:r w:rsidR="008A71A9">
        <w:rPr>
          <w:sz w:val="22"/>
          <w:szCs w:val="22"/>
          <w:lang w:val="en-US"/>
        </w:rPr>
        <w:t>as a result of poultry price increase</w:t>
      </w:r>
      <w:r>
        <w:rPr>
          <w:sz w:val="22"/>
          <w:szCs w:val="22"/>
          <w:lang w:val="en-US"/>
        </w:rPr>
        <w:t>.</w:t>
      </w:r>
      <w:r w:rsidRPr="00D13147">
        <w:rPr>
          <w:sz w:val="22"/>
          <w:szCs w:val="22"/>
          <w:lang w:val="en-US"/>
        </w:rPr>
        <w:t xml:space="preserve"> </w:t>
      </w:r>
    </w:p>
    <w:p w:rsidR="00E50776" w:rsidRPr="00D13147" w:rsidDel="0053737C" w:rsidRDefault="00E50776" w:rsidP="00E50776">
      <w:pPr>
        <w:pStyle w:val="c3"/>
        <w:jc w:val="both"/>
        <w:rPr>
          <w:b/>
          <w:bCs/>
          <w:i/>
          <w:iCs/>
          <w:sz w:val="22"/>
          <w:szCs w:val="22"/>
          <w:lang w:val="en-US"/>
        </w:rPr>
      </w:pPr>
      <w:r w:rsidRPr="00D13147">
        <w:rPr>
          <w:b/>
          <w:sz w:val="22"/>
          <w:szCs w:val="22"/>
        </w:rPr>
        <w:t xml:space="preserve">Next release: </w:t>
      </w:r>
      <w:r w:rsidRPr="00D13147">
        <w:rPr>
          <w:sz w:val="22"/>
          <w:szCs w:val="22"/>
        </w:rPr>
        <w:t>Financial results fo</w:t>
      </w:r>
      <w:r>
        <w:rPr>
          <w:sz w:val="22"/>
          <w:szCs w:val="22"/>
        </w:rPr>
        <w:t>r Q1 201</w:t>
      </w:r>
      <w:r w:rsidR="008A71A9">
        <w:rPr>
          <w:sz w:val="22"/>
          <w:szCs w:val="22"/>
        </w:rPr>
        <w:t>6</w:t>
      </w:r>
      <w:r>
        <w:rPr>
          <w:sz w:val="22"/>
          <w:szCs w:val="22"/>
        </w:rPr>
        <w:t xml:space="preserve"> will be disclosed on </w:t>
      </w:r>
      <w:r w:rsidRPr="008A71A9">
        <w:rPr>
          <w:b/>
          <w:sz w:val="22"/>
          <w:szCs w:val="22"/>
        </w:rPr>
        <w:t>May</w:t>
      </w:r>
      <w:r w:rsidR="008A71A9" w:rsidRPr="008A71A9">
        <w:rPr>
          <w:b/>
          <w:sz w:val="22"/>
          <w:szCs w:val="22"/>
        </w:rPr>
        <w:t xml:space="preserve"> 19</w:t>
      </w:r>
      <w:r w:rsidRPr="008A71A9">
        <w:rPr>
          <w:b/>
          <w:sz w:val="22"/>
          <w:szCs w:val="22"/>
        </w:rPr>
        <w:t>, 201</w:t>
      </w:r>
      <w:r w:rsidR="008A71A9" w:rsidRPr="008A71A9">
        <w:rPr>
          <w:b/>
          <w:sz w:val="22"/>
          <w:szCs w:val="22"/>
        </w:rPr>
        <w:t>6</w:t>
      </w:r>
      <w:r w:rsidRPr="008A71A9">
        <w:rPr>
          <w:b/>
          <w:sz w:val="22"/>
          <w:szCs w:val="22"/>
        </w:rPr>
        <w:t>.</w:t>
      </w:r>
    </w:p>
    <w:tbl>
      <w:tblPr>
        <w:tblW w:w="0" w:type="auto"/>
        <w:tblLook w:val="0000" w:firstRow="0" w:lastRow="0" w:firstColumn="0" w:lastColumn="0" w:noHBand="0" w:noVBand="0"/>
      </w:tblPr>
      <w:tblGrid>
        <w:gridCol w:w="5328"/>
        <w:gridCol w:w="3060"/>
      </w:tblGrid>
      <w:tr w:rsidR="00E50776" w:rsidRPr="00D13147" w:rsidTr="00F94706">
        <w:trPr>
          <w:trHeight w:val="664"/>
        </w:trPr>
        <w:tc>
          <w:tcPr>
            <w:tcW w:w="5328" w:type="dxa"/>
          </w:tcPr>
          <w:p w:rsidR="00E50776" w:rsidRPr="00D13147" w:rsidRDefault="00E50776" w:rsidP="00F94706">
            <w:pPr>
              <w:rPr>
                <w:rFonts w:ascii="Arial" w:hAnsi="Arial" w:cs="Arial"/>
                <w:b/>
                <w:bCs/>
                <w:lang w:val="en-US"/>
              </w:rPr>
            </w:pPr>
            <w:r w:rsidRPr="00D13147">
              <w:rPr>
                <w:rFonts w:ascii="Arial" w:hAnsi="Arial" w:cs="Arial"/>
                <w:b/>
                <w:bCs/>
                <w:lang w:val="en-US"/>
              </w:rPr>
              <w:t>For investor relations and media enquiries</w:t>
            </w:r>
          </w:p>
          <w:p w:rsidR="00E50776" w:rsidRPr="00D13147" w:rsidRDefault="00E50776" w:rsidP="00F94706">
            <w:pPr>
              <w:rPr>
                <w:rFonts w:ascii="Arial" w:hAnsi="Arial" w:cs="Arial"/>
              </w:rPr>
            </w:pPr>
            <w:proofErr w:type="spellStart"/>
            <w:r w:rsidRPr="00D13147">
              <w:rPr>
                <w:rFonts w:ascii="Arial" w:hAnsi="Arial" w:cs="Arial"/>
              </w:rPr>
              <w:t>Anastasiia</w:t>
            </w:r>
            <w:proofErr w:type="spellEnd"/>
            <w:r w:rsidRPr="00D13147">
              <w:rPr>
                <w:rFonts w:ascii="Arial" w:hAnsi="Arial" w:cs="Arial"/>
              </w:rPr>
              <w:t xml:space="preserve"> </w:t>
            </w:r>
            <w:proofErr w:type="spellStart"/>
            <w:r w:rsidRPr="00D13147">
              <w:rPr>
                <w:rFonts w:ascii="Arial" w:hAnsi="Arial" w:cs="Arial"/>
              </w:rPr>
              <w:t>Sobotiuk</w:t>
            </w:r>
            <w:proofErr w:type="spellEnd"/>
            <w:r w:rsidRPr="00D13147">
              <w:rPr>
                <w:rFonts w:ascii="Arial" w:hAnsi="Arial" w:cs="Arial"/>
              </w:rPr>
              <w:t xml:space="preserve"> (</w:t>
            </w:r>
            <w:proofErr w:type="spellStart"/>
            <w:r w:rsidRPr="00D13147">
              <w:rPr>
                <w:rFonts w:ascii="Arial" w:hAnsi="Arial" w:cs="Arial"/>
              </w:rPr>
              <w:t>Kyiv</w:t>
            </w:r>
            <w:proofErr w:type="spellEnd"/>
            <w:r w:rsidRPr="00D13147">
              <w:rPr>
                <w:rFonts w:ascii="Arial" w:hAnsi="Arial" w:cs="Arial"/>
              </w:rPr>
              <w:t>)</w:t>
            </w:r>
          </w:p>
        </w:tc>
        <w:tc>
          <w:tcPr>
            <w:tcW w:w="3060" w:type="dxa"/>
          </w:tcPr>
          <w:p w:rsidR="00E50776" w:rsidRPr="00D13147" w:rsidRDefault="00E50776" w:rsidP="00F94706">
            <w:pPr>
              <w:rPr>
                <w:rFonts w:ascii="Arial" w:hAnsi="Arial" w:cs="Arial"/>
              </w:rPr>
            </w:pPr>
          </w:p>
          <w:p w:rsidR="00E50776" w:rsidRPr="00D13147" w:rsidRDefault="00E50776" w:rsidP="00F94706">
            <w:pPr>
              <w:rPr>
                <w:rFonts w:ascii="Arial" w:hAnsi="Arial" w:cs="Arial"/>
                <w:lang w:val="sv-SE"/>
              </w:rPr>
            </w:pPr>
            <w:r w:rsidRPr="00D13147">
              <w:rPr>
                <w:rFonts w:ascii="Arial" w:hAnsi="Arial" w:cs="Arial"/>
              </w:rPr>
              <w:t>+</w:t>
            </w:r>
            <w:r w:rsidRPr="00D13147">
              <w:rPr>
                <w:rFonts w:ascii="Arial" w:hAnsi="Arial" w:cs="Arial"/>
                <w:lang w:val="sv-SE"/>
              </w:rPr>
              <w:t xml:space="preserve">38 044 207 </w:t>
            </w:r>
            <w:r w:rsidRPr="00D13147">
              <w:rPr>
                <w:rFonts w:ascii="Arial" w:hAnsi="Arial" w:cs="Arial"/>
              </w:rPr>
              <w:t>00</w:t>
            </w:r>
            <w:r w:rsidRPr="00D13147">
              <w:rPr>
                <w:rFonts w:ascii="Arial" w:hAnsi="Arial" w:cs="Arial"/>
                <w:lang w:val="sv-SE"/>
              </w:rPr>
              <w:t xml:space="preserve"> </w:t>
            </w:r>
            <w:r w:rsidRPr="00D13147">
              <w:rPr>
                <w:rFonts w:ascii="Arial" w:hAnsi="Arial" w:cs="Arial"/>
              </w:rPr>
              <w:t>70</w:t>
            </w:r>
            <w:r w:rsidRPr="00D13147">
              <w:rPr>
                <w:rFonts w:ascii="Arial" w:hAnsi="Arial" w:cs="Arial"/>
                <w:lang w:val="sv-SE"/>
              </w:rPr>
              <w:t xml:space="preserve"> </w:t>
            </w:r>
          </w:p>
          <w:p w:rsidR="00E50776" w:rsidRPr="00D13147" w:rsidRDefault="00371226" w:rsidP="00F94706">
            <w:pPr>
              <w:rPr>
                <w:rFonts w:ascii="Arial" w:hAnsi="Arial" w:cs="Arial"/>
                <w:lang w:val="sv-SE"/>
              </w:rPr>
            </w:pPr>
            <w:hyperlink r:id="rId6" w:history="1">
              <w:r w:rsidR="00E50776" w:rsidRPr="00D13147">
                <w:rPr>
                  <w:rStyle w:val="a8"/>
                  <w:rFonts w:ascii="Arial" w:hAnsi="Arial" w:cs="Arial"/>
                  <w:lang w:val="sv-SE"/>
                </w:rPr>
                <w:t>a.sobotyuk@mhp.com.ua</w:t>
              </w:r>
            </w:hyperlink>
          </w:p>
        </w:tc>
      </w:tr>
      <w:tr w:rsidR="00E50776" w:rsidRPr="00371226" w:rsidTr="00F94706">
        <w:trPr>
          <w:trHeight w:val="664"/>
        </w:trPr>
        <w:tc>
          <w:tcPr>
            <w:tcW w:w="5328" w:type="dxa"/>
          </w:tcPr>
          <w:p w:rsidR="00E50776" w:rsidRPr="00D13147" w:rsidRDefault="00E50776" w:rsidP="00F94706">
            <w:pPr>
              <w:rPr>
                <w:rFonts w:ascii="Arial" w:hAnsi="Arial" w:cs="Arial"/>
                <w:b/>
                <w:bCs/>
                <w:lang w:val="en-US"/>
              </w:rPr>
            </w:pPr>
            <w:r w:rsidRPr="00D13147">
              <w:rPr>
                <w:rFonts w:ascii="Arial" w:hAnsi="Arial" w:cs="Arial"/>
                <w:b/>
                <w:bCs/>
                <w:lang w:val="en-US"/>
              </w:rPr>
              <w:t>For analyst enquiries</w:t>
            </w:r>
          </w:p>
          <w:p w:rsidR="00E50776" w:rsidRPr="00D13147" w:rsidRDefault="00E50776" w:rsidP="00F94706">
            <w:pPr>
              <w:rPr>
                <w:rFonts w:ascii="Arial" w:hAnsi="Arial" w:cs="Arial"/>
                <w:bCs/>
                <w:lang w:val="en-US"/>
              </w:rPr>
            </w:pPr>
            <w:proofErr w:type="spellStart"/>
            <w:r w:rsidRPr="00D13147">
              <w:rPr>
                <w:rFonts w:ascii="Arial" w:hAnsi="Arial" w:cs="Arial"/>
                <w:bCs/>
                <w:lang w:val="en-US"/>
              </w:rPr>
              <w:t>Iryna</w:t>
            </w:r>
            <w:proofErr w:type="spellEnd"/>
            <w:r w:rsidRPr="00D13147">
              <w:rPr>
                <w:rFonts w:ascii="Arial" w:hAnsi="Arial" w:cs="Arial"/>
                <w:bCs/>
                <w:lang w:val="en-US"/>
              </w:rPr>
              <w:t xml:space="preserve"> </w:t>
            </w:r>
            <w:proofErr w:type="spellStart"/>
            <w:r w:rsidRPr="00D13147">
              <w:rPr>
                <w:rFonts w:ascii="Arial" w:hAnsi="Arial" w:cs="Arial"/>
                <w:bCs/>
                <w:lang w:val="en-US"/>
              </w:rPr>
              <w:t>Bublik</w:t>
            </w:r>
            <w:proofErr w:type="spellEnd"/>
            <w:r w:rsidRPr="00D13147">
              <w:rPr>
                <w:rFonts w:ascii="Arial" w:hAnsi="Arial" w:cs="Arial"/>
                <w:bCs/>
                <w:lang w:val="en-US"/>
              </w:rPr>
              <w:t xml:space="preserve"> (Kyiv)</w:t>
            </w:r>
          </w:p>
        </w:tc>
        <w:tc>
          <w:tcPr>
            <w:tcW w:w="3060" w:type="dxa"/>
          </w:tcPr>
          <w:p w:rsidR="00E50776" w:rsidRPr="00D13147" w:rsidRDefault="00E50776" w:rsidP="00F94706">
            <w:pPr>
              <w:rPr>
                <w:rFonts w:ascii="Arial" w:hAnsi="Arial" w:cs="Arial"/>
                <w:lang w:val="en-US"/>
              </w:rPr>
            </w:pPr>
          </w:p>
          <w:p w:rsidR="00E50776" w:rsidRPr="00D13147" w:rsidRDefault="00E50776" w:rsidP="00F94706">
            <w:pPr>
              <w:rPr>
                <w:rFonts w:ascii="Arial" w:hAnsi="Arial" w:cs="Arial"/>
                <w:lang w:val="en-US"/>
              </w:rPr>
            </w:pPr>
            <w:r w:rsidRPr="00D13147">
              <w:rPr>
                <w:rFonts w:ascii="Arial" w:hAnsi="Arial" w:cs="Arial"/>
                <w:lang w:val="en-US"/>
              </w:rPr>
              <w:t xml:space="preserve">+38 044 207 00 04 </w:t>
            </w:r>
          </w:p>
          <w:p w:rsidR="00E50776" w:rsidRPr="00D13147" w:rsidRDefault="00C05C4F" w:rsidP="00F94706">
            <w:pPr>
              <w:rPr>
                <w:rFonts w:ascii="Arial" w:hAnsi="Arial" w:cs="Arial"/>
                <w:lang w:val="en-US"/>
              </w:rPr>
            </w:pPr>
            <w:hyperlink r:id="rId7" w:history="1">
              <w:r w:rsidR="00E50776" w:rsidRPr="00D13147">
                <w:rPr>
                  <w:rStyle w:val="a8"/>
                  <w:rFonts w:ascii="Arial" w:hAnsi="Arial" w:cs="Arial"/>
                  <w:lang w:val="en-US"/>
                </w:rPr>
                <w:t>i.bublik@mhp.com.ua</w:t>
              </w:r>
            </w:hyperlink>
          </w:p>
        </w:tc>
      </w:tr>
    </w:tbl>
    <w:p w:rsidR="00E13A8B" w:rsidRDefault="00E13A8B" w:rsidP="00E50776">
      <w:pPr>
        <w:spacing w:before="120" w:after="120"/>
        <w:rPr>
          <w:rFonts w:ascii="Arial" w:hAnsi="Arial" w:cs="Arial"/>
          <w:lang w:val="en-US"/>
        </w:rPr>
      </w:pPr>
    </w:p>
    <w:p w:rsidR="00E13A8B" w:rsidRDefault="00E13A8B">
      <w:pPr>
        <w:rPr>
          <w:rFonts w:ascii="Arial" w:hAnsi="Arial" w:cs="Arial"/>
          <w:lang w:val="en-US"/>
        </w:rPr>
      </w:pPr>
      <w:r>
        <w:rPr>
          <w:rFonts w:ascii="Arial" w:hAnsi="Arial" w:cs="Arial"/>
          <w:lang w:val="en-US"/>
        </w:rPr>
        <w:br w:type="page"/>
      </w:r>
    </w:p>
    <w:p w:rsidR="00E50776" w:rsidRPr="00D13147" w:rsidRDefault="00E50776" w:rsidP="00E50776">
      <w:pPr>
        <w:spacing w:before="120" w:after="120"/>
        <w:rPr>
          <w:rFonts w:ascii="Arial" w:hAnsi="Arial" w:cs="Arial"/>
          <w:lang w:val="en-US"/>
        </w:rPr>
      </w:pPr>
    </w:p>
    <w:p w:rsidR="00E50776" w:rsidRPr="00D13147" w:rsidRDefault="00E50776" w:rsidP="00E50776">
      <w:pPr>
        <w:pStyle w:val="a3"/>
        <w:spacing w:before="0" w:after="0"/>
        <w:rPr>
          <w:b/>
          <w:bCs/>
        </w:rPr>
      </w:pPr>
      <w:r w:rsidRPr="00D13147">
        <w:rPr>
          <w:b/>
          <w:bCs/>
        </w:rPr>
        <w:t>Notes to Editors:</w:t>
      </w:r>
    </w:p>
    <w:p w:rsidR="00E50776" w:rsidRPr="00D13147" w:rsidRDefault="00E50776" w:rsidP="00E50776">
      <w:pPr>
        <w:tabs>
          <w:tab w:val="left" w:pos="1080"/>
        </w:tabs>
        <w:suppressAutoHyphens/>
        <w:jc w:val="both"/>
        <w:rPr>
          <w:rFonts w:ascii="Arial" w:hAnsi="Arial" w:cs="Arial"/>
          <w:spacing w:val="-5"/>
          <w:u w:val="single"/>
          <w:lang w:val="en-US"/>
        </w:rPr>
      </w:pPr>
    </w:p>
    <w:p w:rsidR="00E50776" w:rsidRPr="00D13147" w:rsidRDefault="00E50776" w:rsidP="00E50776">
      <w:pPr>
        <w:suppressAutoHyphens/>
        <w:jc w:val="both"/>
        <w:outlineLvl w:val="0"/>
        <w:rPr>
          <w:rFonts w:ascii="Arial" w:hAnsi="Arial" w:cs="Arial"/>
          <w:b/>
          <w:bCs/>
          <w:spacing w:val="-2"/>
          <w:lang w:val="en-US"/>
        </w:rPr>
      </w:pPr>
      <w:r w:rsidRPr="00D13147">
        <w:rPr>
          <w:rFonts w:ascii="Arial" w:hAnsi="Arial" w:cs="Arial"/>
          <w:b/>
          <w:bCs/>
          <w:spacing w:val="-2"/>
          <w:lang w:val="en-US"/>
        </w:rPr>
        <w:t>About MHP</w:t>
      </w:r>
    </w:p>
    <w:p w:rsidR="00E50776" w:rsidRPr="00D13147" w:rsidRDefault="00E50776" w:rsidP="00E50776">
      <w:pPr>
        <w:suppressAutoHyphens/>
        <w:jc w:val="both"/>
        <w:outlineLvl w:val="0"/>
        <w:rPr>
          <w:rFonts w:ascii="Arial" w:hAnsi="Arial" w:cs="Arial"/>
          <w:spacing w:val="-2"/>
          <w:lang w:val="en-US"/>
        </w:rPr>
      </w:pPr>
    </w:p>
    <w:p w:rsidR="00E50776" w:rsidRPr="00D13147" w:rsidRDefault="00E50776" w:rsidP="00E50776">
      <w:pPr>
        <w:pStyle w:val="a7"/>
        <w:spacing w:after="240"/>
        <w:jc w:val="both"/>
        <w:rPr>
          <w:rFonts w:ascii="Arial" w:hAnsi="Arial" w:cs="Arial"/>
        </w:rPr>
      </w:pPr>
      <w:r w:rsidRPr="00D13147">
        <w:rPr>
          <w:rStyle w:val="w"/>
        </w:rPr>
        <w:t>MHP is the leading producer of poultry products in Ukraine with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Vertical integration reduces MHP's dependence on suppliers and its exposure to increases in raw material prices. In addition to cost efficiency, vertical integration also allows MHP to maintain strict biosecurity and to control the quality of its inputs and the resulting quality and consistency of its products through to the point of sale. To support its sales, MHP maintains a distr</w:t>
      </w:r>
      <w:r>
        <w:rPr>
          <w:rStyle w:val="w"/>
        </w:rPr>
        <w:t>ibution network consisting of 15</w:t>
      </w:r>
      <w:r w:rsidRPr="00D13147">
        <w:rPr>
          <w:rStyle w:val="w"/>
        </w:rPr>
        <w:t xml:space="preserve"> distribution and logistical centres, within major Ukrainian cities. MHP uses its trucks for the distribution of its products, which Management believes reduces overall transportation costs and delivery times.</w:t>
      </w:r>
    </w:p>
    <w:p w:rsidR="00E50776" w:rsidRPr="00D13147" w:rsidRDefault="00E50776" w:rsidP="00E50776">
      <w:pPr>
        <w:pStyle w:val="bj"/>
        <w:rPr>
          <w:rFonts w:ascii="Arial" w:hAnsi="Arial" w:cs="Arial"/>
        </w:rPr>
      </w:pPr>
      <w:r w:rsidRPr="00D13147">
        <w:rPr>
          <w:rStyle w:val="x"/>
        </w:rPr>
        <w:t>MHP also has a leading grain cultivation business growing corn to support the vertical integration of its chicken production and increasingly other grains, such as wheat and rape, for sale to third parties. MHP leases agricultural land located primarily in the highly fertile black soil regions of Ukraine.</w:t>
      </w:r>
    </w:p>
    <w:p w:rsidR="00E50776" w:rsidRPr="00D13147" w:rsidRDefault="00E50776" w:rsidP="00E50776">
      <w:pPr>
        <w:pStyle w:val="bj"/>
        <w:rPr>
          <w:rFonts w:ascii="Arial" w:hAnsi="Arial" w:cs="Arial"/>
        </w:rPr>
      </w:pPr>
    </w:p>
    <w:p w:rsidR="00E50776" w:rsidRPr="00D13147" w:rsidRDefault="00E50776" w:rsidP="00E50776">
      <w:pPr>
        <w:pStyle w:val="bj"/>
        <w:rPr>
          <w:rFonts w:ascii="Arial" w:hAnsi="Arial" w:cs="Arial"/>
        </w:rPr>
      </w:pPr>
      <w:r w:rsidRPr="00D13147">
        <w:rPr>
          <w:rStyle w:val="x"/>
        </w:rPr>
        <w:t>Since May 15, 2008, MHP has traded on the London Stock Exchange under the ticker symbol MHPC.</w:t>
      </w:r>
    </w:p>
    <w:p w:rsidR="00E50776" w:rsidRPr="00D13147" w:rsidRDefault="00E50776" w:rsidP="00E50776">
      <w:pPr>
        <w:pStyle w:val="bj"/>
        <w:rPr>
          <w:rFonts w:ascii="Arial" w:hAnsi="Arial" w:cs="Arial"/>
        </w:rPr>
      </w:pPr>
    </w:p>
    <w:p w:rsidR="00E50776" w:rsidRPr="00D13147" w:rsidRDefault="00E50776" w:rsidP="00E50776">
      <w:pPr>
        <w:pStyle w:val="f"/>
        <w:jc w:val="both"/>
        <w:rPr>
          <w:rFonts w:ascii="Arial" w:hAnsi="Arial" w:cs="Arial"/>
          <w:color w:val="auto"/>
          <w:sz w:val="22"/>
          <w:szCs w:val="22"/>
        </w:rPr>
      </w:pPr>
      <w:r w:rsidRPr="00D13147">
        <w:rPr>
          <w:rStyle w:val="as"/>
          <w:b/>
          <w:bCs/>
          <w:color w:val="auto"/>
        </w:rPr>
        <w:t>Forward-Looking Statements</w:t>
      </w:r>
    </w:p>
    <w:p w:rsidR="00E50776" w:rsidRPr="00D13147" w:rsidRDefault="00E50776" w:rsidP="00E50776">
      <w:pPr>
        <w:pStyle w:val="f"/>
        <w:jc w:val="both"/>
        <w:rPr>
          <w:rFonts w:ascii="Arial" w:hAnsi="Arial" w:cs="Arial"/>
          <w:color w:val="auto"/>
          <w:sz w:val="22"/>
          <w:szCs w:val="22"/>
        </w:rPr>
      </w:pPr>
    </w:p>
    <w:p w:rsidR="00E50776" w:rsidRPr="00D13147" w:rsidRDefault="00E50776" w:rsidP="00E50776">
      <w:pPr>
        <w:pStyle w:val="f"/>
        <w:jc w:val="both"/>
        <w:rPr>
          <w:rFonts w:ascii="Arial" w:hAnsi="Arial" w:cs="Arial"/>
          <w:sz w:val="22"/>
          <w:szCs w:val="22"/>
          <w:lang w:val="en-US"/>
        </w:rPr>
      </w:pPr>
      <w:r w:rsidRPr="00D13147">
        <w:rPr>
          <w:rStyle w:val="as"/>
          <w:color w:val="auto"/>
        </w:rPr>
        <w:t>This press release might contain forward-looking statements that refer to future events or forecast financial indicators for MHP S.A. Such statements do not guarantee that these are actions to be taken by MHP S.A. in the future, and estimates can be inaccurate and uncertain. Actual final indicators and results can considerably differ from those declared in any forward-looking statements. MHP S.A. does not intend to change these statements to reflect actual results</w:t>
      </w:r>
      <w:r w:rsidRPr="00D13147">
        <w:rPr>
          <w:rStyle w:val="t"/>
          <w:color w:val="auto"/>
          <w:sz w:val="22"/>
          <w:szCs w:val="22"/>
        </w:rPr>
        <w:t>.</w:t>
      </w:r>
    </w:p>
    <w:p w:rsidR="00E50776" w:rsidRPr="00A44A36" w:rsidRDefault="00E50776" w:rsidP="00E50776">
      <w:pPr>
        <w:rPr>
          <w:lang w:val="en-US"/>
        </w:rPr>
      </w:pPr>
    </w:p>
    <w:p w:rsidR="003351E2" w:rsidRPr="00E50776" w:rsidRDefault="003351E2">
      <w:pPr>
        <w:rPr>
          <w:lang w:val="en-US"/>
        </w:rPr>
      </w:pPr>
      <w:bookmarkStart w:id="0" w:name="_GoBack"/>
      <w:bookmarkEnd w:id="0"/>
    </w:p>
    <w:sectPr w:rsidR="003351E2" w:rsidRPr="00E50776" w:rsidSect="00D156D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BC3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nov Evgeniy">
    <w15:presenceInfo w15:providerId="AD" w15:userId="S-1-5-21-2737948186-3171770667-3123141673-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76"/>
    <w:rsid w:val="00164AF6"/>
    <w:rsid w:val="003351E2"/>
    <w:rsid w:val="00371226"/>
    <w:rsid w:val="0046134F"/>
    <w:rsid w:val="00562B5A"/>
    <w:rsid w:val="005C295F"/>
    <w:rsid w:val="00790859"/>
    <w:rsid w:val="0085322E"/>
    <w:rsid w:val="008A71A9"/>
    <w:rsid w:val="008D3B23"/>
    <w:rsid w:val="009F116E"/>
    <w:rsid w:val="00C05C4F"/>
    <w:rsid w:val="00C70061"/>
    <w:rsid w:val="00CE240B"/>
    <w:rsid w:val="00D25C9D"/>
    <w:rsid w:val="00E13A8B"/>
    <w:rsid w:val="00E161EF"/>
    <w:rsid w:val="00E50776"/>
    <w:rsid w:val="00EF56E5"/>
    <w:rsid w:val="00FB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7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ublik@mhp.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obotyuk@mhp.com.ua" TargetMode="External"/><Relationship Id="rId11" Type="http://schemas.microsoft.com/office/2011/relationships/commentsExtended" Target="commentsExtended.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4083</Words>
  <Characters>2328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mhp</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Соботюк</dc:creator>
  <cp:lastModifiedBy>Sobotyuk Anastasiya</cp:lastModifiedBy>
  <cp:revision>2</cp:revision>
  <dcterms:created xsi:type="dcterms:W3CDTF">2016-04-18T18:55:00Z</dcterms:created>
  <dcterms:modified xsi:type="dcterms:W3CDTF">2016-04-18T18:55:00Z</dcterms:modified>
</cp:coreProperties>
</file>