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2D" w:rsidRPr="001D4C2D" w:rsidRDefault="001D4C2D" w:rsidP="001D4C2D">
      <w:pPr>
        <w:jc w:val="center"/>
        <w:rPr>
          <w:rFonts w:ascii="Arial" w:hAnsi="Arial" w:cs="Arial"/>
          <w:b/>
          <w:sz w:val="22"/>
          <w:szCs w:val="22"/>
          <w:lang w:val="en-US"/>
        </w:rPr>
      </w:pPr>
      <w:r w:rsidRPr="00196A10">
        <w:rPr>
          <w:b/>
          <w:noProof/>
          <w:lang w:val="en-US" w:eastAsia="en-US"/>
        </w:rPr>
        <w:drawing>
          <wp:inline distT="0" distB="0" distL="0" distR="0" wp14:anchorId="6985489D" wp14:editId="393FAFD6">
            <wp:extent cx="3629025" cy="1864975"/>
            <wp:effectExtent l="0" t="0" r="0" b="2540"/>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965" cy="1878820"/>
                    </a:xfrm>
                    <a:prstGeom prst="rect">
                      <a:avLst/>
                    </a:prstGeom>
                    <a:noFill/>
                    <a:ln>
                      <a:noFill/>
                    </a:ln>
                  </pic:spPr>
                </pic:pic>
              </a:graphicData>
            </a:graphic>
          </wp:inline>
        </w:drawing>
      </w:r>
    </w:p>
    <w:p w:rsidR="001D4C2D" w:rsidRPr="001D4C2D" w:rsidRDefault="001D4C2D" w:rsidP="001D4C2D">
      <w:pPr>
        <w:pStyle w:val="c3"/>
        <w:jc w:val="center"/>
        <w:rPr>
          <w:sz w:val="24"/>
          <w:szCs w:val="24"/>
          <w:lang w:val="en-US"/>
        </w:rPr>
      </w:pPr>
      <w:r>
        <w:rPr>
          <w:sz w:val="24"/>
          <w:szCs w:val="24"/>
          <w:lang w:val="en-US"/>
        </w:rPr>
        <w:t>18</w:t>
      </w:r>
      <w:r w:rsidRPr="001D4C2D">
        <w:rPr>
          <w:sz w:val="24"/>
          <w:szCs w:val="24"/>
          <w:lang w:val="en-US"/>
        </w:rPr>
        <w:t xml:space="preserve"> June 2018, Limassol, Cyprus</w:t>
      </w:r>
    </w:p>
    <w:p w:rsidR="001D4C2D" w:rsidRDefault="001D4C2D" w:rsidP="001D4C2D">
      <w:pPr>
        <w:pStyle w:val="c3"/>
        <w:jc w:val="center"/>
        <w:rPr>
          <w:lang w:val="en-US"/>
        </w:rPr>
      </w:pPr>
    </w:p>
    <w:p w:rsidR="001D4C2D" w:rsidRPr="00B731F7" w:rsidRDefault="001D4C2D" w:rsidP="001D4C2D">
      <w:pPr>
        <w:pStyle w:val="c3"/>
        <w:jc w:val="center"/>
        <w:rPr>
          <w:b/>
          <w:sz w:val="22"/>
          <w:szCs w:val="22"/>
          <w:lang w:val="en-US"/>
        </w:rPr>
      </w:pPr>
      <w:r>
        <w:rPr>
          <w:b/>
          <w:sz w:val="22"/>
          <w:szCs w:val="22"/>
          <w:lang w:val="en-US"/>
        </w:rPr>
        <w:t>MHP SE</w:t>
      </w:r>
    </w:p>
    <w:p w:rsidR="002D6BCD" w:rsidRPr="003461CC" w:rsidRDefault="002D6BCD" w:rsidP="003461CC">
      <w:pPr>
        <w:jc w:val="center"/>
        <w:rPr>
          <w:rFonts w:ascii="Arial" w:hAnsi="Arial" w:cs="Arial"/>
          <w:b/>
          <w:sz w:val="22"/>
          <w:szCs w:val="22"/>
        </w:rPr>
      </w:pPr>
      <w:r w:rsidRPr="003461CC">
        <w:rPr>
          <w:rFonts w:ascii="Arial" w:hAnsi="Arial" w:cs="Arial"/>
          <w:b/>
          <w:sz w:val="22"/>
          <w:szCs w:val="22"/>
        </w:rPr>
        <w:t xml:space="preserve">Results of </w:t>
      </w:r>
      <w:r w:rsidR="003461CC" w:rsidRPr="003461CC">
        <w:rPr>
          <w:rFonts w:ascii="Arial" w:hAnsi="Arial" w:cs="Arial"/>
          <w:b/>
          <w:sz w:val="22"/>
          <w:szCs w:val="22"/>
        </w:rPr>
        <w:t>AGM</w:t>
      </w:r>
    </w:p>
    <w:p w:rsidR="002D6BCD" w:rsidRPr="002D6BCD" w:rsidRDefault="002D6BCD" w:rsidP="0012200B">
      <w:pPr>
        <w:jc w:val="both"/>
        <w:rPr>
          <w:rFonts w:ascii="Arial" w:hAnsi="Arial" w:cs="Arial"/>
          <w:b/>
          <w:sz w:val="22"/>
          <w:szCs w:val="22"/>
        </w:rPr>
      </w:pPr>
      <w:r w:rsidRPr="002D6BCD">
        <w:rPr>
          <w:rFonts w:ascii="Arial" w:hAnsi="Arial" w:cs="Arial"/>
          <w:b/>
          <w:sz w:val="22"/>
          <w:szCs w:val="22"/>
        </w:rPr>
        <w:t xml:space="preserve"> </w:t>
      </w:r>
    </w:p>
    <w:p w:rsidR="002D6BCD" w:rsidRPr="001D4C2D" w:rsidRDefault="001D4C2D" w:rsidP="001D4C2D">
      <w:pPr>
        <w:jc w:val="both"/>
        <w:rPr>
          <w:rFonts w:ascii="Arial" w:hAnsi="Arial" w:cs="Arial"/>
        </w:rPr>
      </w:pPr>
      <w:proofErr w:type="gramStart"/>
      <w:r w:rsidRPr="001D4C2D">
        <w:rPr>
          <w:rFonts w:ascii="Arial" w:hAnsi="Arial" w:cs="Arial"/>
          <w:lang w:val="en-US"/>
        </w:rPr>
        <w:t xml:space="preserve">MHP SE (LSE: MHPC), the parent company of a leading international agro-industrial group with headquarters in Ukraine, focusing primarily on the production of poultry and cultivation of grain, as well as other agricultural operations (meat processing and meat products ready for consumption) today announces </w:t>
      </w:r>
      <w:r w:rsidRPr="001D4C2D">
        <w:rPr>
          <w:rFonts w:ascii="Arial" w:hAnsi="Arial"/>
          <w:lang w:val="en-US"/>
        </w:rPr>
        <w:t xml:space="preserve">that </w:t>
      </w:r>
      <w:r w:rsidRPr="001D4C2D">
        <w:rPr>
          <w:rFonts w:ascii="Arial" w:hAnsi="Arial"/>
          <w:lang w:val="en-US"/>
        </w:rPr>
        <w:t>at</w:t>
      </w:r>
      <w:r w:rsidR="002D6BCD" w:rsidRPr="001D4C2D">
        <w:rPr>
          <w:rFonts w:ascii="Arial" w:hAnsi="Arial" w:cs="Arial"/>
        </w:rPr>
        <w:t xml:space="preserve"> its </w:t>
      </w:r>
      <w:r w:rsidR="003727F6" w:rsidRPr="001D4C2D">
        <w:rPr>
          <w:rFonts w:ascii="Arial" w:hAnsi="Arial" w:cs="Arial"/>
        </w:rPr>
        <w:t xml:space="preserve">Annual </w:t>
      </w:r>
      <w:r w:rsidR="002D6BCD" w:rsidRPr="001D4C2D">
        <w:rPr>
          <w:rFonts w:ascii="Arial" w:hAnsi="Arial" w:cs="Arial"/>
        </w:rPr>
        <w:t xml:space="preserve">General Meeting of shareholders (“Meeting”), </w:t>
      </w:r>
      <w:r w:rsidRPr="001D4C2D">
        <w:rPr>
          <w:rFonts w:ascii="Arial" w:hAnsi="Arial" w:cs="Arial"/>
        </w:rPr>
        <w:t xml:space="preserve">16-18, </w:t>
      </w:r>
      <w:proofErr w:type="spellStart"/>
      <w:r w:rsidRPr="001D4C2D">
        <w:rPr>
          <w:rFonts w:ascii="Arial" w:hAnsi="Arial" w:cs="Arial"/>
        </w:rPr>
        <w:t>Zinas</w:t>
      </w:r>
      <w:proofErr w:type="spellEnd"/>
      <w:r w:rsidRPr="001D4C2D">
        <w:rPr>
          <w:rFonts w:ascii="Arial" w:hAnsi="Arial" w:cs="Arial"/>
        </w:rPr>
        <w:t xml:space="preserve"> </w:t>
      </w:r>
      <w:proofErr w:type="spellStart"/>
      <w:r w:rsidRPr="001D4C2D">
        <w:rPr>
          <w:rFonts w:ascii="Arial" w:hAnsi="Arial" w:cs="Arial"/>
        </w:rPr>
        <w:t>Kanther</w:t>
      </w:r>
      <w:proofErr w:type="spellEnd"/>
      <w:r w:rsidRPr="001D4C2D">
        <w:rPr>
          <w:rFonts w:ascii="Arial" w:hAnsi="Arial" w:cs="Arial"/>
        </w:rPr>
        <w:t xml:space="preserve"> Street, </w:t>
      </w:r>
      <w:proofErr w:type="spellStart"/>
      <w:r w:rsidRPr="001D4C2D">
        <w:rPr>
          <w:rFonts w:ascii="Arial" w:hAnsi="Arial" w:cs="Arial"/>
        </w:rPr>
        <w:t>Ayia</w:t>
      </w:r>
      <w:proofErr w:type="spellEnd"/>
      <w:r w:rsidRPr="001D4C2D">
        <w:rPr>
          <w:rFonts w:ascii="Arial" w:hAnsi="Arial" w:cs="Arial"/>
        </w:rPr>
        <w:t xml:space="preserve"> </w:t>
      </w:r>
      <w:proofErr w:type="spellStart"/>
      <w:r w:rsidRPr="001D4C2D">
        <w:rPr>
          <w:rFonts w:ascii="Arial" w:hAnsi="Arial" w:cs="Arial"/>
        </w:rPr>
        <w:t>Triada</w:t>
      </w:r>
      <w:proofErr w:type="spellEnd"/>
      <w:r w:rsidRPr="001D4C2D">
        <w:rPr>
          <w:rFonts w:ascii="Arial" w:hAnsi="Arial" w:cs="Arial"/>
        </w:rPr>
        <w:t xml:space="preserve">, 3035 Limassol, Cyprus on the 18th day of June 2018 at 10.00 </w:t>
      </w:r>
      <w:proofErr w:type="spellStart"/>
      <w:r w:rsidRPr="001D4C2D">
        <w:rPr>
          <w:rFonts w:ascii="Arial" w:hAnsi="Arial" w:cs="Arial"/>
        </w:rPr>
        <w:t>a.m.</w:t>
      </w:r>
      <w:r w:rsidR="002D6BCD" w:rsidRPr="001D4C2D">
        <w:rPr>
          <w:rFonts w:ascii="Arial" w:hAnsi="Arial" w:cs="Arial"/>
        </w:rPr>
        <w:t>all</w:t>
      </w:r>
      <w:proofErr w:type="spellEnd"/>
      <w:r w:rsidR="0012200B" w:rsidRPr="001D4C2D">
        <w:rPr>
          <w:rFonts w:ascii="Arial" w:hAnsi="Arial" w:cs="Arial"/>
        </w:rPr>
        <w:t xml:space="preserve"> </w:t>
      </w:r>
      <w:r w:rsidR="00057B5C" w:rsidRPr="001D4C2D">
        <w:rPr>
          <w:rFonts w:ascii="Arial" w:hAnsi="Arial" w:cs="Arial"/>
        </w:rPr>
        <w:t>resolutions were adopted</w:t>
      </w:r>
      <w:r>
        <w:rPr>
          <w:rFonts w:ascii="Arial" w:hAnsi="Arial" w:cs="Arial"/>
        </w:rPr>
        <w:t xml:space="preserve"> as Ordinary Resolutions</w:t>
      </w:r>
      <w:bookmarkStart w:id="0" w:name="_GoBack"/>
      <w:bookmarkEnd w:id="0"/>
      <w:r w:rsidR="00057B5C" w:rsidRPr="001D4C2D">
        <w:rPr>
          <w:rFonts w:ascii="Arial" w:hAnsi="Arial" w:cs="Arial"/>
        </w:rPr>
        <w:t>.</w:t>
      </w:r>
      <w:proofErr w:type="gramEnd"/>
    </w:p>
    <w:p w:rsidR="002D6BCD" w:rsidRPr="001D4C2D" w:rsidRDefault="002D6BCD" w:rsidP="002D6BCD">
      <w:pPr>
        <w:rPr>
          <w:rFonts w:ascii="Arial" w:hAnsi="Arial" w:cs="Arial"/>
          <w:b/>
        </w:rPr>
      </w:pPr>
    </w:p>
    <w:p w:rsidR="00AC6614" w:rsidRPr="001D4C2D" w:rsidRDefault="002D6BCD" w:rsidP="002D6BCD">
      <w:pPr>
        <w:rPr>
          <w:rStyle w:val="a6"/>
          <w:rFonts w:ascii="Arial" w:hAnsi="Arial" w:cs="Arial"/>
          <w:i w:val="0"/>
          <w:iCs w:val="0"/>
          <w:lang w:val="en-US"/>
        </w:rPr>
      </w:pPr>
      <w:r w:rsidRPr="001D4C2D">
        <w:rPr>
          <w:rFonts w:ascii="Arial" w:hAnsi="Arial" w:cs="Arial"/>
        </w:rPr>
        <w:t xml:space="preserve">The agenda of the Meeting was as follows: </w:t>
      </w:r>
      <w:r w:rsidRPr="001D4C2D">
        <w:rPr>
          <w:rFonts w:ascii="Arial" w:hAnsi="Arial" w:cs="Arial"/>
        </w:rPr>
        <w:cr/>
      </w:r>
    </w:p>
    <w:p w:rsidR="001D4C2D" w:rsidRPr="001D4C2D" w:rsidRDefault="001D4C2D" w:rsidP="001D4C2D">
      <w:pPr>
        <w:pStyle w:val="a5"/>
        <w:numPr>
          <w:ilvl w:val="0"/>
          <w:numId w:val="4"/>
        </w:numPr>
        <w:autoSpaceDE w:val="0"/>
        <w:autoSpaceDN w:val="0"/>
        <w:adjustRightInd w:val="0"/>
        <w:ind w:left="708" w:hanging="708"/>
        <w:contextualSpacing/>
        <w:jc w:val="both"/>
        <w:rPr>
          <w:rFonts w:ascii="Arial" w:hAnsi="Arial" w:cs="Arial"/>
          <w:sz w:val="24"/>
          <w:szCs w:val="24"/>
          <w:lang w:val="en-GB"/>
        </w:rPr>
      </w:pPr>
      <w:r w:rsidRPr="001D4C2D">
        <w:rPr>
          <w:rFonts w:ascii="Arial" w:hAnsi="Arial" w:cs="Arial"/>
          <w:sz w:val="24"/>
          <w:szCs w:val="24"/>
          <w:lang w:val="en-GB"/>
        </w:rPr>
        <w:t>the Annual Report of MHP SE for the year end 2017, containing</w:t>
      </w:r>
      <w:r w:rsidRPr="001D4C2D">
        <w:rPr>
          <w:rFonts w:ascii="Arial" w:hAnsi="Arial" w:cs="Arial"/>
          <w:sz w:val="24"/>
          <w:szCs w:val="24"/>
          <w:lang w:val="uk-UA"/>
        </w:rPr>
        <w:t xml:space="preserve"> </w:t>
      </w:r>
      <w:proofErr w:type="spellStart"/>
      <w:r w:rsidRPr="001D4C2D">
        <w:rPr>
          <w:rFonts w:ascii="Arial" w:hAnsi="Arial" w:cs="Arial"/>
          <w:sz w:val="24"/>
          <w:szCs w:val="24"/>
          <w:lang w:val="uk-UA"/>
        </w:rPr>
        <w:t>the</w:t>
      </w:r>
      <w:proofErr w:type="spellEnd"/>
      <w:r w:rsidRPr="001D4C2D">
        <w:rPr>
          <w:rFonts w:ascii="Arial" w:hAnsi="Arial" w:cs="Arial"/>
          <w:sz w:val="24"/>
          <w:szCs w:val="24"/>
          <w:lang w:val="uk-UA"/>
        </w:rPr>
        <w:t xml:space="preserve"> </w:t>
      </w:r>
      <w:r w:rsidRPr="001D4C2D">
        <w:rPr>
          <w:rFonts w:ascii="Arial" w:hAnsi="Arial" w:cs="Arial"/>
          <w:sz w:val="24"/>
          <w:szCs w:val="24"/>
          <w:lang w:val="en-GB"/>
        </w:rPr>
        <w:t xml:space="preserve">consolidated </w:t>
      </w:r>
      <w:proofErr w:type="spellStart"/>
      <w:r w:rsidRPr="001D4C2D">
        <w:rPr>
          <w:rFonts w:ascii="Arial" w:hAnsi="Arial" w:cs="Arial"/>
          <w:sz w:val="24"/>
          <w:szCs w:val="24"/>
          <w:lang w:val="uk-UA"/>
        </w:rPr>
        <w:t>management</w:t>
      </w:r>
      <w:proofErr w:type="spellEnd"/>
      <w:r w:rsidRPr="001D4C2D">
        <w:rPr>
          <w:rFonts w:ascii="Arial" w:hAnsi="Arial" w:cs="Arial"/>
          <w:sz w:val="24"/>
          <w:szCs w:val="24"/>
          <w:lang w:val="uk-UA"/>
        </w:rPr>
        <w:t xml:space="preserve"> </w:t>
      </w:r>
      <w:proofErr w:type="spellStart"/>
      <w:r w:rsidRPr="001D4C2D">
        <w:rPr>
          <w:rFonts w:ascii="Arial" w:hAnsi="Arial" w:cs="Arial"/>
          <w:sz w:val="24"/>
          <w:szCs w:val="24"/>
          <w:lang w:val="uk-UA"/>
        </w:rPr>
        <w:t>report</w:t>
      </w:r>
      <w:proofErr w:type="spellEnd"/>
      <w:r w:rsidRPr="001D4C2D">
        <w:rPr>
          <w:rFonts w:ascii="Arial" w:hAnsi="Arial" w:cs="Arial"/>
          <w:sz w:val="24"/>
          <w:szCs w:val="24"/>
          <w:lang w:val="uk-UA"/>
        </w:rPr>
        <w:t xml:space="preserve"> </w:t>
      </w:r>
      <w:proofErr w:type="spellStart"/>
      <w:r w:rsidRPr="001D4C2D">
        <w:rPr>
          <w:rFonts w:ascii="Arial" w:hAnsi="Arial" w:cs="Arial"/>
          <w:sz w:val="24"/>
          <w:szCs w:val="24"/>
          <w:lang w:val="uk-UA"/>
        </w:rPr>
        <w:t>of</w:t>
      </w:r>
      <w:proofErr w:type="spellEnd"/>
      <w:r w:rsidRPr="001D4C2D">
        <w:rPr>
          <w:rFonts w:ascii="Arial" w:hAnsi="Arial" w:cs="Arial"/>
          <w:sz w:val="24"/>
          <w:szCs w:val="24"/>
          <w:lang w:val="uk-UA"/>
        </w:rPr>
        <w:t xml:space="preserve"> </w:t>
      </w:r>
      <w:proofErr w:type="spellStart"/>
      <w:r w:rsidRPr="001D4C2D">
        <w:rPr>
          <w:rFonts w:ascii="Arial" w:hAnsi="Arial" w:cs="Arial"/>
          <w:sz w:val="24"/>
          <w:szCs w:val="24"/>
          <w:lang w:val="uk-UA"/>
        </w:rPr>
        <w:t>the</w:t>
      </w:r>
      <w:proofErr w:type="spellEnd"/>
      <w:r w:rsidRPr="001D4C2D">
        <w:rPr>
          <w:rFonts w:ascii="Arial" w:hAnsi="Arial" w:cs="Arial"/>
          <w:sz w:val="24"/>
          <w:szCs w:val="24"/>
          <w:lang w:val="uk-UA"/>
        </w:rPr>
        <w:t xml:space="preserve"> </w:t>
      </w:r>
      <w:r w:rsidRPr="001D4C2D">
        <w:rPr>
          <w:rFonts w:ascii="Arial" w:hAnsi="Arial" w:cs="Arial"/>
          <w:sz w:val="24"/>
          <w:szCs w:val="24"/>
          <w:lang w:val="en-GB"/>
        </w:rPr>
        <w:t>B</w:t>
      </w:r>
      <w:proofErr w:type="spellStart"/>
      <w:r w:rsidRPr="001D4C2D">
        <w:rPr>
          <w:rFonts w:ascii="Arial" w:hAnsi="Arial" w:cs="Arial"/>
          <w:sz w:val="24"/>
          <w:szCs w:val="24"/>
          <w:lang w:val="uk-UA"/>
        </w:rPr>
        <w:t>oard</w:t>
      </w:r>
      <w:proofErr w:type="spellEnd"/>
      <w:r w:rsidRPr="001D4C2D">
        <w:rPr>
          <w:rFonts w:ascii="Arial" w:hAnsi="Arial" w:cs="Arial"/>
          <w:sz w:val="24"/>
          <w:szCs w:val="24"/>
          <w:lang w:val="uk-UA"/>
        </w:rPr>
        <w:t xml:space="preserve"> </w:t>
      </w:r>
      <w:proofErr w:type="spellStart"/>
      <w:r w:rsidRPr="001D4C2D">
        <w:rPr>
          <w:rFonts w:ascii="Arial" w:hAnsi="Arial" w:cs="Arial"/>
          <w:sz w:val="24"/>
          <w:szCs w:val="24"/>
          <w:lang w:val="uk-UA"/>
        </w:rPr>
        <w:t>of</w:t>
      </w:r>
      <w:proofErr w:type="spellEnd"/>
      <w:r w:rsidRPr="001D4C2D">
        <w:rPr>
          <w:rFonts w:ascii="Arial" w:hAnsi="Arial" w:cs="Arial"/>
          <w:sz w:val="24"/>
          <w:szCs w:val="24"/>
          <w:lang w:val="uk-UA"/>
        </w:rPr>
        <w:t xml:space="preserve"> </w:t>
      </w:r>
      <w:r w:rsidRPr="001D4C2D">
        <w:rPr>
          <w:rFonts w:ascii="Arial" w:hAnsi="Arial" w:cs="Arial"/>
          <w:sz w:val="24"/>
          <w:szCs w:val="24"/>
          <w:lang w:val="en-GB"/>
        </w:rPr>
        <w:t>D</w:t>
      </w:r>
      <w:proofErr w:type="spellStart"/>
      <w:r w:rsidRPr="001D4C2D">
        <w:rPr>
          <w:rFonts w:ascii="Arial" w:hAnsi="Arial" w:cs="Arial"/>
          <w:sz w:val="24"/>
          <w:szCs w:val="24"/>
          <w:lang w:val="uk-UA"/>
        </w:rPr>
        <w:t>irectors</w:t>
      </w:r>
      <w:proofErr w:type="spellEnd"/>
      <w:r w:rsidRPr="001D4C2D">
        <w:rPr>
          <w:rFonts w:ascii="Arial" w:hAnsi="Arial" w:cs="Arial"/>
          <w:sz w:val="24"/>
          <w:szCs w:val="24"/>
          <w:lang w:val="uk-UA"/>
        </w:rPr>
        <w:t xml:space="preserve"> </w:t>
      </w:r>
      <w:r w:rsidRPr="001D4C2D">
        <w:rPr>
          <w:rFonts w:ascii="Arial" w:hAnsi="Arial" w:cs="Arial"/>
          <w:sz w:val="24"/>
          <w:szCs w:val="24"/>
          <w:lang w:val="en-GB"/>
        </w:rPr>
        <w:t>of the Company, the independent auditors report on the audit of the consolidated f</w:t>
      </w:r>
      <w:proofErr w:type="spellStart"/>
      <w:r w:rsidRPr="001D4C2D">
        <w:rPr>
          <w:rFonts w:ascii="Arial" w:hAnsi="Arial" w:cs="Arial"/>
          <w:sz w:val="24"/>
          <w:szCs w:val="24"/>
          <w:lang w:val="uk-UA"/>
        </w:rPr>
        <w:t>inancial</w:t>
      </w:r>
      <w:proofErr w:type="spellEnd"/>
      <w:r w:rsidRPr="001D4C2D">
        <w:rPr>
          <w:rFonts w:ascii="Arial" w:hAnsi="Arial" w:cs="Arial"/>
          <w:sz w:val="24"/>
          <w:szCs w:val="24"/>
          <w:lang w:val="en-GB"/>
        </w:rPr>
        <w:t xml:space="preserve"> s</w:t>
      </w:r>
      <w:proofErr w:type="spellStart"/>
      <w:r w:rsidRPr="001D4C2D">
        <w:rPr>
          <w:rFonts w:ascii="Arial" w:hAnsi="Arial" w:cs="Arial"/>
          <w:sz w:val="24"/>
          <w:szCs w:val="24"/>
          <w:lang w:val="uk-UA"/>
        </w:rPr>
        <w:t>tatements</w:t>
      </w:r>
      <w:proofErr w:type="spellEnd"/>
      <w:r w:rsidRPr="001D4C2D">
        <w:rPr>
          <w:rFonts w:ascii="Arial" w:hAnsi="Arial" w:cs="Arial"/>
          <w:sz w:val="24"/>
          <w:szCs w:val="24"/>
          <w:lang w:val="en-GB"/>
        </w:rPr>
        <w:t xml:space="preserve"> of MHP SE and its subsidiaries for the year end 2017 and </w:t>
      </w:r>
      <w:r w:rsidRPr="001D4C2D">
        <w:rPr>
          <w:rFonts w:ascii="Arial" w:hAnsi="Arial" w:cs="Arial"/>
          <w:sz w:val="24"/>
          <w:szCs w:val="24"/>
          <w:lang w:val="en-US"/>
        </w:rPr>
        <w:t>the consolidated</w:t>
      </w:r>
      <w:r w:rsidRPr="001D4C2D">
        <w:rPr>
          <w:rFonts w:ascii="Arial" w:hAnsi="Arial" w:cs="Arial"/>
          <w:sz w:val="24"/>
          <w:szCs w:val="24"/>
          <w:lang w:val="uk-UA"/>
        </w:rPr>
        <w:t xml:space="preserve"> </w:t>
      </w:r>
      <w:r w:rsidRPr="001D4C2D">
        <w:rPr>
          <w:rFonts w:ascii="Arial" w:hAnsi="Arial" w:cs="Arial"/>
          <w:sz w:val="24"/>
          <w:szCs w:val="24"/>
          <w:lang w:val="en-GB"/>
        </w:rPr>
        <w:t>f</w:t>
      </w:r>
      <w:proofErr w:type="spellStart"/>
      <w:r w:rsidRPr="001D4C2D">
        <w:rPr>
          <w:rFonts w:ascii="Arial" w:hAnsi="Arial" w:cs="Arial"/>
          <w:sz w:val="24"/>
          <w:szCs w:val="24"/>
          <w:lang w:val="uk-UA"/>
        </w:rPr>
        <w:t>inancial</w:t>
      </w:r>
      <w:proofErr w:type="spellEnd"/>
      <w:r w:rsidRPr="001D4C2D">
        <w:rPr>
          <w:rFonts w:ascii="Arial" w:hAnsi="Arial" w:cs="Arial"/>
          <w:sz w:val="24"/>
          <w:szCs w:val="24"/>
          <w:lang w:val="en-GB"/>
        </w:rPr>
        <w:t xml:space="preserve"> s</w:t>
      </w:r>
      <w:proofErr w:type="spellStart"/>
      <w:r w:rsidRPr="001D4C2D">
        <w:rPr>
          <w:rFonts w:ascii="Arial" w:hAnsi="Arial" w:cs="Arial"/>
          <w:sz w:val="24"/>
          <w:szCs w:val="24"/>
          <w:lang w:val="uk-UA"/>
        </w:rPr>
        <w:t>tatements</w:t>
      </w:r>
      <w:proofErr w:type="spellEnd"/>
      <w:r w:rsidRPr="001D4C2D">
        <w:rPr>
          <w:rFonts w:ascii="Arial" w:hAnsi="Arial" w:cs="Arial"/>
          <w:sz w:val="24"/>
          <w:szCs w:val="24"/>
          <w:lang w:val="en-GB"/>
        </w:rPr>
        <w:t xml:space="preserve"> of MHP SE and its subsidiaries for the year end 2017;</w:t>
      </w:r>
    </w:p>
    <w:p w:rsidR="001D4C2D" w:rsidRPr="001D4C2D" w:rsidRDefault="001D4C2D" w:rsidP="001D4C2D">
      <w:pPr>
        <w:pStyle w:val="a5"/>
        <w:ind w:left="502"/>
        <w:jc w:val="both"/>
        <w:rPr>
          <w:rFonts w:ascii="Arial" w:hAnsi="Arial" w:cs="Arial"/>
          <w:sz w:val="24"/>
          <w:szCs w:val="24"/>
          <w:lang w:val="en-GB"/>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t xml:space="preserve">the report of the independent auditors of the Company and the Audited Financial Statements of the Company for the year end 31 December 2017; </w:t>
      </w:r>
    </w:p>
    <w:p w:rsidR="001D4C2D" w:rsidRPr="001D4C2D" w:rsidRDefault="001D4C2D" w:rsidP="001D4C2D">
      <w:pPr>
        <w:pStyle w:val="a5"/>
        <w:rPr>
          <w:rFonts w:ascii="Arial" w:hAnsi="Arial" w:cs="Arial"/>
          <w:sz w:val="24"/>
          <w:szCs w:val="24"/>
          <w:lang w:val="en-GB"/>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t>the transfer of the entire amount lying in the “legal reserve account”, appearing in the equity section of the statement of financial position in the Audited Financial Statements of the Company for the year end 31 December 2017, to the retained earnings, with effect from the date of the AGM (see Explanatory Note below);</w:t>
      </w:r>
    </w:p>
    <w:p w:rsidR="001D4C2D" w:rsidRPr="001D4C2D" w:rsidRDefault="001D4C2D" w:rsidP="001D4C2D">
      <w:pPr>
        <w:rPr>
          <w:rFonts w:ascii="Arial" w:hAnsi="Arial" w:cs="Arial"/>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t>the adoption of new corporate governance code of the Company;</w:t>
      </w:r>
    </w:p>
    <w:p w:rsidR="001D4C2D" w:rsidRPr="001D4C2D" w:rsidRDefault="001D4C2D" w:rsidP="001D4C2D">
      <w:pPr>
        <w:pStyle w:val="a5"/>
        <w:rPr>
          <w:rFonts w:ascii="Arial" w:hAnsi="Arial" w:cs="Arial"/>
          <w:sz w:val="24"/>
          <w:szCs w:val="24"/>
          <w:lang w:val="en-GB"/>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t>the adoption of new share dealing code of the Company;</w:t>
      </w:r>
    </w:p>
    <w:p w:rsidR="001D4C2D" w:rsidRPr="001D4C2D" w:rsidRDefault="001D4C2D" w:rsidP="001D4C2D">
      <w:pPr>
        <w:pStyle w:val="a5"/>
        <w:ind w:left="502"/>
        <w:jc w:val="both"/>
        <w:rPr>
          <w:rFonts w:ascii="Arial" w:hAnsi="Arial" w:cs="Arial"/>
          <w:sz w:val="24"/>
          <w:szCs w:val="24"/>
          <w:lang w:val="en-GB"/>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t xml:space="preserve">the re-election as Directors of John Clifford Rich, Yuriy Kosyuk, </w:t>
      </w:r>
      <w:proofErr w:type="spellStart"/>
      <w:r w:rsidRPr="001D4C2D">
        <w:rPr>
          <w:rFonts w:ascii="Arial" w:hAnsi="Arial" w:cs="Arial"/>
          <w:sz w:val="24"/>
          <w:szCs w:val="24"/>
          <w:lang w:val="en-GB"/>
        </w:rPr>
        <w:t>Victoriya</w:t>
      </w:r>
      <w:proofErr w:type="spellEnd"/>
      <w:r w:rsidRPr="001D4C2D">
        <w:rPr>
          <w:rFonts w:ascii="Arial" w:hAnsi="Arial" w:cs="Arial"/>
          <w:sz w:val="24"/>
          <w:szCs w:val="24"/>
          <w:lang w:val="en-GB"/>
        </w:rPr>
        <w:t xml:space="preserve"> B. </w:t>
      </w:r>
      <w:proofErr w:type="spellStart"/>
      <w:r w:rsidRPr="001D4C2D">
        <w:rPr>
          <w:rFonts w:ascii="Arial" w:hAnsi="Arial" w:cs="Arial"/>
          <w:sz w:val="24"/>
          <w:szCs w:val="24"/>
          <w:lang w:val="en-GB"/>
        </w:rPr>
        <w:t>Kapelushna</w:t>
      </w:r>
      <w:proofErr w:type="spellEnd"/>
      <w:r w:rsidRPr="001D4C2D">
        <w:rPr>
          <w:rFonts w:ascii="Arial" w:hAnsi="Arial" w:cs="Arial"/>
          <w:sz w:val="24"/>
          <w:szCs w:val="24"/>
          <w:lang w:val="en-GB"/>
        </w:rPr>
        <w:t xml:space="preserve">, Yuriy Melnyk, John Grant and Raymond William Richards; </w:t>
      </w:r>
    </w:p>
    <w:p w:rsidR="001D4C2D" w:rsidRPr="001D4C2D" w:rsidRDefault="001D4C2D" w:rsidP="001D4C2D">
      <w:pPr>
        <w:pStyle w:val="a5"/>
        <w:jc w:val="both"/>
        <w:rPr>
          <w:rFonts w:ascii="Arial" w:hAnsi="Arial" w:cs="Arial"/>
          <w:sz w:val="24"/>
          <w:szCs w:val="24"/>
          <w:lang w:val="en-GB"/>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t>the appointment of Mr. Roberto Banfi as an additional Director of the Company;</w:t>
      </w:r>
    </w:p>
    <w:p w:rsidR="001D4C2D" w:rsidRPr="001D4C2D" w:rsidRDefault="001D4C2D" w:rsidP="001D4C2D">
      <w:pPr>
        <w:pStyle w:val="a5"/>
        <w:rPr>
          <w:rFonts w:ascii="Arial" w:hAnsi="Arial" w:cs="Arial"/>
          <w:sz w:val="24"/>
          <w:szCs w:val="24"/>
          <w:lang w:val="en-GB"/>
        </w:rPr>
      </w:pPr>
    </w:p>
    <w:p w:rsidR="001D4C2D"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GB"/>
        </w:rPr>
        <w:lastRenderedPageBreak/>
        <w:t>the increase to the remuneration of Mr. Yuriy Kosyuk as CEO of the Company, on the recommendation of the Nomination and Remuneration Committee; and</w:t>
      </w:r>
    </w:p>
    <w:p w:rsidR="001D4C2D" w:rsidRPr="001D4C2D" w:rsidRDefault="001D4C2D" w:rsidP="001D4C2D">
      <w:pPr>
        <w:pStyle w:val="a5"/>
        <w:ind w:left="708"/>
        <w:contextualSpacing/>
        <w:jc w:val="both"/>
        <w:rPr>
          <w:rFonts w:ascii="Arial" w:hAnsi="Arial" w:cs="Arial"/>
          <w:sz w:val="24"/>
          <w:szCs w:val="24"/>
          <w:lang w:val="en-GB"/>
        </w:rPr>
      </w:pPr>
    </w:p>
    <w:p w:rsidR="00AC6614" w:rsidRPr="001D4C2D" w:rsidRDefault="001D4C2D" w:rsidP="001D4C2D">
      <w:pPr>
        <w:pStyle w:val="a5"/>
        <w:numPr>
          <w:ilvl w:val="0"/>
          <w:numId w:val="4"/>
        </w:numPr>
        <w:ind w:left="708" w:hanging="708"/>
        <w:contextualSpacing/>
        <w:jc w:val="both"/>
        <w:rPr>
          <w:rFonts w:ascii="Arial" w:hAnsi="Arial" w:cs="Arial"/>
          <w:sz w:val="24"/>
          <w:szCs w:val="24"/>
          <w:lang w:val="en-GB"/>
        </w:rPr>
      </w:pPr>
      <w:r w:rsidRPr="001D4C2D">
        <w:rPr>
          <w:rFonts w:ascii="Arial" w:hAnsi="Arial" w:cs="Arial"/>
          <w:sz w:val="24"/>
          <w:szCs w:val="24"/>
          <w:lang w:val="en-US"/>
        </w:rPr>
        <w:t xml:space="preserve">the re-appoint </w:t>
      </w:r>
      <w:r w:rsidRPr="001D4C2D">
        <w:rPr>
          <w:rFonts w:ascii="Arial" w:hAnsi="Arial" w:cs="Arial"/>
          <w:sz w:val="24"/>
          <w:szCs w:val="24"/>
          <w:lang w:val="en-US" w:eastAsia="en-GB"/>
        </w:rPr>
        <w:t>Deloitte Limited,</w:t>
      </w:r>
      <w:r w:rsidRPr="001D4C2D">
        <w:rPr>
          <w:rFonts w:ascii="Arial" w:hAnsi="Arial" w:cs="Arial"/>
          <w:sz w:val="24"/>
          <w:szCs w:val="24"/>
          <w:lang w:val="en-US"/>
        </w:rPr>
        <w:t xml:space="preserve"> the retiring auditors of the Company, as Auditors of the Company until the conclusion of the Annual General Meeting of the Company to be held in the year 2019 and to </w:t>
      </w:r>
      <w:proofErr w:type="spellStart"/>
      <w:r w:rsidRPr="001D4C2D">
        <w:rPr>
          <w:rFonts w:ascii="Arial" w:hAnsi="Arial" w:cs="Arial"/>
          <w:sz w:val="24"/>
          <w:szCs w:val="24"/>
          <w:lang w:val="en-US"/>
        </w:rPr>
        <w:t>authorise</w:t>
      </w:r>
      <w:proofErr w:type="spellEnd"/>
      <w:r w:rsidRPr="001D4C2D">
        <w:rPr>
          <w:rFonts w:ascii="Arial" w:hAnsi="Arial" w:cs="Arial"/>
          <w:sz w:val="24"/>
          <w:szCs w:val="24"/>
          <w:lang w:val="en-US"/>
        </w:rPr>
        <w:t xml:space="preserve"> the Directors to determine their remuneration.</w:t>
      </w:r>
    </w:p>
    <w:p w:rsidR="001D4C2D" w:rsidRPr="001D4C2D" w:rsidRDefault="001D4C2D" w:rsidP="001D4C2D">
      <w:pPr>
        <w:pStyle w:val="a5"/>
        <w:ind w:left="708"/>
        <w:contextualSpacing/>
        <w:jc w:val="both"/>
        <w:rPr>
          <w:rFonts w:asciiTheme="minorHAnsi" w:hAnsiTheme="minorHAnsi"/>
          <w:lang w:val="en-GB"/>
        </w:rPr>
      </w:pPr>
    </w:p>
    <w:p w:rsidR="001D4C2D" w:rsidRPr="001D4C2D" w:rsidRDefault="001D4C2D" w:rsidP="001D4C2D">
      <w:pPr>
        <w:pStyle w:val="c3"/>
        <w:jc w:val="both"/>
        <w:rPr>
          <w:spacing w:val="-5"/>
          <w:sz w:val="24"/>
          <w:szCs w:val="24"/>
          <w:lang w:val="en-US"/>
        </w:rPr>
      </w:pPr>
    </w:p>
    <w:p w:rsidR="001D4C2D" w:rsidRPr="001D4C2D" w:rsidRDefault="001D4C2D" w:rsidP="001D4C2D">
      <w:pPr>
        <w:jc w:val="center"/>
        <w:rPr>
          <w:rFonts w:ascii="Arial" w:hAnsi="Arial" w:cs="Arial"/>
          <w:spacing w:val="-5"/>
        </w:rPr>
      </w:pPr>
      <w:r w:rsidRPr="001D4C2D">
        <w:rPr>
          <w:rFonts w:ascii="Arial" w:hAnsi="Arial" w:cs="Arial"/>
          <w:spacing w:val="-5"/>
        </w:rPr>
        <w:t>-Ends-</w:t>
      </w:r>
    </w:p>
    <w:p w:rsidR="001D4C2D" w:rsidRPr="001D4C2D" w:rsidRDefault="001D4C2D" w:rsidP="001D4C2D">
      <w:pPr>
        <w:rPr>
          <w:rFonts w:ascii="Arial" w:hAnsi="Arial" w:cs="Arial"/>
          <w:spacing w:val="-5"/>
        </w:rPr>
      </w:pPr>
    </w:p>
    <w:p w:rsidR="001D4C2D" w:rsidRPr="001D4C2D" w:rsidRDefault="001D4C2D" w:rsidP="001D4C2D">
      <w:pPr>
        <w:suppressAutoHyphens/>
        <w:rPr>
          <w:rFonts w:ascii="Arial" w:hAnsi="Arial" w:cs="Arial"/>
          <w:b/>
          <w:bCs/>
          <w:i/>
          <w:iCs/>
          <w:lang w:eastAsia="ar-SA"/>
        </w:rPr>
      </w:pPr>
    </w:p>
    <w:tbl>
      <w:tblPr>
        <w:tblW w:w="0" w:type="auto"/>
        <w:tblInd w:w="-106" w:type="dxa"/>
        <w:tblLayout w:type="fixed"/>
        <w:tblLook w:val="0000" w:firstRow="0" w:lastRow="0" w:firstColumn="0" w:lastColumn="0" w:noHBand="0" w:noVBand="0"/>
      </w:tblPr>
      <w:tblGrid>
        <w:gridCol w:w="5328"/>
        <w:gridCol w:w="3060"/>
      </w:tblGrid>
      <w:tr w:rsidR="001D4C2D" w:rsidRPr="001D4C2D" w:rsidTr="00117355">
        <w:trPr>
          <w:trHeight w:val="664"/>
        </w:trPr>
        <w:tc>
          <w:tcPr>
            <w:tcW w:w="5328" w:type="dxa"/>
          </w:tcPr>
          <w:p w:rsidR="001D4C2D" w:rsidRPr="001D4C2D" w:rsidRDefault="001D4C2D" w:rsidP="00117355">
            <w:pPr>
              <w:suppressAutoHyphens/>
              <w:rPr>
                <w:rFonts w:ascii="Arial" w:hAnsi="Arial" w:cs="Arial"/>
                <w:lang w:eastAsia="ar-SA"/>
              </w:rPr>
            </w:pPr>
          </w:p>
          <w:p w:rsidR="001D4C2D" w:rsidRPr="001D4C2D" w:rsidRDefault="001D4C2D" w:rsidP="00117355">
            <w:pPr>
              <w:suppressAutoHyphens/>
              <w:rPr>
                <w:rFonts w:ascii="Arial" w:hAnsi="Arial" w:cs="Arial"/>
                <w:b/>
                <w:bCs/>
                <w:lang w:eastAsia="ar-SA"/>
              </w:rPr>
            </w:pPr>
            <w:r w:rsidRPr="001D4C2D">
              <w:rPr>
                <w:rFonts w:ascii="Arial" w:hAnsi="Arial" w:cs="Arial"/>
                <w:b/>
                <w:bCs/>
                <w:lang w:eastAsia="ar-SA"/>
              </w:rPr>
              <w:t>For Investor Relations enquiries</w:t>
            </w:r>
          </w:p>
          <w:p w:rsidR="001D4C2D" w:rsidRPr="001D4C2D" w:rsidRDefault="001D4C2D" w:rsidP="00117355">
            <w:pPr>
              <w:suppressAutoHyphens/>
              <w:rPr>
                <w:rFonts w:ascii="Arial" w:hAnsi="Arial" w:cs="Arial"/>
                <w:lang w:eastAsia="ar-SA"/>
              </w:rPr>
            </w:pPr>
            <w:proofErr w:type="spellStart"/>
            <w:r w:rsidRPr="001D4C2D">
              <w:rPr>
                <w:rFonts w:ascii="Arial" w:hAnsi="Arial" w:cs="Arial"/>
                <w:lang w:eastAsia="ar-SA"/>
              </w:rPr>
              <w:t>Anastasiia</w:t>
            </w:r>
            <w:proofErr w:type="spellEnd"/>
            <w:r w:rsidRPr="001D4C2D">
              <w:rPr>
                <w:rFonts w:ascii="Arial" w:hAnsi="Arial" w:cs="Arial"/>
                <w:lang w:eastAsia="ar-SA"/>
              </w:rPr>
              <w:t xml:space="preserve"> </w:t>
            </w:r>
            <w:proofErr w:type="spellStart"/>
            <w:r w:rsidRPr="001D4C2D">
              <w:rPr>
                <w:rFonts w:ascii="Arial" w:hAnsi="Arial" w:cs="Arial"/>
                <w:lang w:eastAsia="ar-SA"/>
              </w:rPr>
              <w:t>Sobotiuk</w:t>
            </w:r>
            <w:proofErr w:type="spellEnd"/>
            <w:r w:rsidRPr="001D4C2D">
              <w:rPr>
                <w:rFonts w:ascii="Arial" w:hAnsi="Arial" w:cs="Arial"/>
                <w:lang w:eastAsia="ar-SA"/>
              </w:rPr>
              <w:t xml:space="preserve"> (Kyiv)         </w:t>
            </w:r>
          </w:p>
          <w:p w:rsidR="001D4C2D" w:rsidRPr="001D4C2D" w:rsidRDefault="001D4C2D" w:rsidP="00117355">
            <w:pPr>
              <w:suppressAutoHyphens/>
              <w:rPr>
                <w:rFonts w:ascii="Arial" w:hAnsi="Arial" w:cs="Arial"/>
                <w:lang w:eastAsia="ar-SA"/>
              </w:rPr>
            </w:pPr>
          </w:p>
        </w:tc>
        <w:tc>
          <w:tcPr>
            <w:tcW w:w="3060" w:type="dxa"/>
          </w:tcPr>
          <w:p w:rsidR="001D4C2D" w:rsidRPr="001D4C2D" w:rsidRDefault="001D4C2D" w:rsidP="00117355">
            <w:pPr>
              <w:suppressAutoHyphens/>
              <w:snapToGrid w:val="0"/>
              <w:rPr>
                <w:rFonts w:ascii="Arial" w:hAnsi="Arial" w:cs="Arial"/>
                <w:lang w:eastAsia="ar-SA"/>
              </w:rPr>
            </w:pPr>
          </w:p>
          <w:p w:rsidR="001D4C2D" w:rsidRPr="001D4C2D" w:rsidRDefault="001D4C2D" w:rsidP="00117355">
            <w:pPr>
              <w:tabs>
                <w:tab w:val="left" w:pos="237"/>
              </w:tabs>
              <w:suppressAutoHyphens/>
              <w:rPr>
                <w:rFonts w:ascii="Arial" w:hAnsi="Arial" w:cs="Arial"/>
              </w:rPr>
            </w:pPr>
          </w:p>
          <w:p w:rsidR="001D4C2D" w:rsidRPr="001D4C2D" w:rsidRDefault="001D4C2D" w:rsidP="00117355">
            <w:pPr>
              <w:tabs>
                <w:tab w:val="left" w:pos="237"/>
              </w:tabs>
              <w:suppressAutoHyphens/>
              <w:rPr>
                <w:rFonts w:ascii="Arial" w:hAnsi="Arial" w:cs="Arial"/>
                <w:lang w:eastAsia="ar-SA"/>
              </w:rPr>
            </w:pPr>
            <w:hyperlink r:id="rId6" w:history="1">
              <w:r w:rsidRPr="001D4C2D">
                <w:rPr>
                  <w:rFonts w:ascii="Arial" w:hAnsi="Arial" w:cs="Arial"/>
                  <w:lang w:eastAsia="ar-SA"/>
                </w:rPr>
                <w:t>Kyiv:</w:t>
              </w:r>
            </w:hyperlink>
            <w:r w:rsidRPr="001D4C2D">
              <w:rPr>
                <w:rFonts w:ascii="Arial" w:hAnsi="Arial" w:cs="Arial"/>
                <w:lang w:eastAsia="ar-SA"/>
              </w:rPr>
              <w:t xml:space="preserve"> +38 044 207 99 58</w:t>
            </w:r>
          </w:p>
          <w:p w:rsidR="001D4C2D" w:rsidRPr="001D4C2D" w:rsidRDefault="001D4C2D" w:rsidP="00117355">
            <w:pPr>
              <w:tabs>
                <w:tab w:val="left" w:pos="237"/>
              </w:tabs>
              <w:suppressAutoHyphens/>
              <w:rPr>
                <w:rFonts w:ascii="Arial" w:hAnsi="Arial" w:cs="Arial"/>
                <w:lang w:eastAsia="ar-SA"/>
              </w:rPr>
            </w:pPr>
            <w:hyperlink r:id="rId7" w:history="1">
              <w:r w:rsidRPr="001D4C2D">
                <w:rPr>
                  <w:rFonts w:ascii="Arial" w:hAnsi="Arial" w:cs="Arial"/>
                  <w:lang w:eastAsia="ar-SA"/>
                </w:rPr>
                <w:t>a.sobotyuk@mhp.com.ua</w:t>
              </w:r>
            </w:hyperlink>
            <w:r w:rsidRPr="001D4C2D">
              <w:rPr>
                <w:rFonts w:ascii="Arial" w:hAnsi="Arial" w:cs="Arial"/>
                <w:lang w:eastAsia="ar-SA"/>
              </w:rPr>
              <w:t xml:space="preserve">                                      </w:t>
            </w:r>
          </w:p>
        </w:tc>
      </w:tr>
    </w:tbl>
    <w:p w:rsidR="001D4C2D" w:rsidRPr="00FA1F85" w:rsidRDefault="001D4C2D" w:rsidP="001D4C2D">
      <w:pPr>
        <w:pStyle w:val="a7"/>
        <w:spacing w:after="0"/>
        <w:rPr>
          <w:rFonts w:ascii="Arial" w:hAnsi="Arial" w:cs="Arial"/>
          <w:b/>
          <w:szCs w:val="22"/>
        </w:rPr>
      </w:pPr>
      <w:r w:rsidRPr="00FA1F85">
        <w:rPr>
          <w:rFonts w:ascii="Arial" w:hAnsi="Arial" w:cs="Arial"/>
          <w:b/>
          <w:szCs w:val="22"/>
        </w:rPr>
        <w:t xml:space="preserve"> </w:t>
      </w:r>
    </w:p>
    <w:p w:rsidR="001D4C2D" w:rsidRDefault="001D4C2D" w:rsidP="001D4C2D">
      <w:pPr>
        <w:pStyle w:val="a7"/>
        <w:spacing w:after="0"/>
        <w:rPr>
          <w:rFonts w:ascii="Arial" w:hAnsi="Arial" w:cs="Arial"/>
          <w:b/>
          <w:szCs w:val="22"/>
          <w:lang w:val="en-US"/>
        </w:rPr>
      </w:pPr>
    </w:p>
    <w:p w:rsidR="003351E2" w:rsidRPr="001D4C2D" w:rsidRDefault="003351E2" w:rsidP="001D4C2D">
      <w:pPr>
        <w:rPr>
          <w:lang w:val="en-US"/>
        </w:rPr>
      </w:pPr>
    </w:p>
    <w:sectPr w:rsidR="003351E2" w:rsidRPr="001D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1012"/>
    <w:multiLevelType w:val="hybridMultilevel"/>
    <w:tmpl w:val="9502DFA0"/>
    <w:lvl w:ilvl="0" w:tplc="EC0E61B4">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2E6ADE"/>
    <w:multiLevelType w:val="hybridMultilevel"/>
    <w:tmpl w:val="AE382218"/>
    <w:lvl w:ilvl="0" w:tplc="3BC8B57A">
      <w:start w:val="1"/>
      <w:numFmt w:val="decimal"/>
      <w:lvlText w:val="%1."/>
      <w:lvlJc w:val="left"/>
      <w:pPr>
        <w:ind w:left="720" w:hanging="360"/>
      </w:pPr>
      <w:rPr>
        <w:rFonts w:hint="default"/>
        <w:caps w:val="0"/>
        <w:smallCaps w:val="0"/>
        <w:strike w:val="0"/>
        <w:dstrike w:val="0"/>
        <w:outline w:val="0"/>
        <w:shadow w:val="0"/>
        <w:emboss w:val="0"/>
        <w:imprint w:val="0"/>
        <w:vanish w:val="0"/>
        <w:color w:val="auto"/>
        <w:spacing w:val="0"/>
        <w:w w:val="100"/>
        <w:kern w:val="0"/>
        <w:position w:val="0"/>
        <w:u w:val="none"/>
        <w:effect w:val="none"/>
        <w:vertAlign w:val="base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930C07"/>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6E1AC2"/>
    <w:multiLevelType w:val="hybridMultilevel"/>
    <w:tmpl w:val="06C2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14"/>
    <w:rsid w:val="00057B5C"/>
    <w:rsid w:val="0012200B"/>
    <w:rsid w:val="001D4C2D"/>
    <w:rsid w:val="001F279E"/>
    <w:rsid w:val="002D6BCD"/>
    <w:rsid w:val="003351E2"/>
    <w:rsid w:val="003461CC"/>
    <w:rsid w:val="003727F6"/>
    <w:rsid w:val="003861D4"/>
    <w:rsid w:val="003E5CF9"/>
    <w:rsid w:val="00875A63"/>
    <w:rsid w:val="008C61B4"/>
    <w:rsid w:val="00AC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C259"/>
  <w15:docId w15:val="{25CC7371-6D97-4F82-A389-8065409B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614"/>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C6614"/>
    <w:pPr>
      <w:spacing w:before="100" w:beforeAutospacing="1" w:after="100" w:afterAutospacing="1"/>
    </w:pPr>
    <w:rPr>
      <w:rFonts w:ascii="Arial" w:hAnsi="Arial" w:cs="Arial"/>
      <w:sz w:val="18"/>
      <w:szCs w:val="18"/>
    </w:rPr>
  </w:style>
  <w:style w:type="paragraph" w:styleId="a3">
    <w:name w:val="Balloon Text"/>
    <w:basedOn w:val="a"/>
    <w:link w:val="a4"/>
    <w:uiPriority w:val="99"/>
    <w:semiHidden/>
    <w:unhideWhenUsed/>
    <w:rsid w:val="00AC6614"/>
    <w:rPr>
      <w:rFonts w:ascii="Tahoma" w:hAnsi="Tahoma" w:cs="Tahoma"/>
      <w:sz w:val="16"/>
      <w:szCs w:val="16"/>
    </w:rPr>
  </w:style>
  <w:style w:type="character" w:customStyle="1" w:styleId="a4">
    <w:name w:val="Текст выноски Знак"/>
    <w:basedOn w:val="a0"/>
    <w:link w:val="a3"/>
    <w:uiPriority w:val="99"/>
    <w:semiHidden/>
    <w:rsid w:val="00AC6614"/>
    <w:rPr>
      <w:rFonts w:ascii="Tahoma" w:eastAsia="Times New Roman" w:hAnsi="Tahoma" w:cs="Tahoma"/>
      <w:sz w:val="16"/>
      <w:szCs w:val="16"/>
      <w:lang w:val="en-GB" w:eastAsia="en-GB"/>
    </w:rPr>
  </w:style>
  <w:style w:type="paragraph" w:styleId="a5">
    <w:name w:val="List Paragraph"/>
    <w:basedOn w:val="a"/>
    <w:uiPriority w:val="34"/>
    <w:qFormat/>
    <w:rsid w:val="00AC6614"/>
    <w:pPr>
      <w:ind w:left="720"/>
    </w:pPr>
    <w:rPr>
      <w:rFonts w:ascii="Calibri" w:eastAsiaTheme="minorHAnsi" w:hAnsi="Calibri" w:cs="Calibri"/>
      <w:sz w:val="22"/>
      <w:szCs w:val="22"/>
      <w:lang w:val="ru-RU" w:eastAsia="en-US"/>
    </w:rPr>
  </w:style>
  <w:style w:type="character" w:styleId="a6">
    <w:name w:val="Emphasis"/>
    <w:basedOn w:val="a0"/>
    <w:uiPriority w:val="20"/>
    <w:qFormat/>
    <w:rsid w:val="00AC6614"/>
    <w:rPr>
      <w:i/>
      <w:iCs/>
    </w:rPr>
  </w:style>
  <w:style w:type="paragraph" w:styleId="a7">
    <w:name w:val="Body Text"/>
    <w:basedOn w:val="a"/>
    <w:link w:val="a8"/>
    <w:rsid w:val="001D4C2D"/>
    <w:pPr>
      <w:spacing w:after="240"/>
    </w:pPr>
    <w:rPr>
      <w:sz w:val="22"/>
      <w:szCs w:val="20"/>
      <w:lang w:eastAsia="en-US"/>
    </w:rPr>
  </w:style>
  <w:style w:type="character" w:customStyle="1" w:styleId="a8">
    <w:name w:val="Основной текст Знак"/>
    <w:basedOn w:val="a0"/>
    <w:link w:val="a7"/>
    <w:rsid w:val="001D4C2D"/>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obotyuk@mhp.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mirohleb.kiev.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mhp</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Соботюк</dc:creator>
  <cp:lastModifiedBy>Sobotyuk Anastasiya</cp:lastModifiedBy>
  <cp:revision>2</cp:revision>
  <cp:lastPrinted>2014-04-29T08:56:00Z</cp:lastPrinted>
  <dcterms:created xsi:type="dcterms:W3CDTF">2018-06-18T10:24:00Z</dcterms:created>
  <dcterms:modified xsi:type="dcterms:W3CDTF">2018-06-18T10:24:00Z</dcterms:modified>
</cp:coreProperties>
</file>